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926DC">
      <w:pPr>
        <w:rPr>
          <w:rFonts w:hint="eastAsia" w:ascii="方正仿宋_GB2312" w:hAnsi="方正仿宋_GB2312" w:eastAsia="方正仿宋_GB2312" w:cs="方正仿宋_GB2312"/>
          <w:sz w:val="32"/>
          <w:szCs w:val="40"/>
        </w:rPr>
      </w:pPr>
      <w:bookmarkStart w:id="0" w:name="_Hlk75164116"/>
      <w:r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  <w:t>附件5-11-3</w:t>
      </w:r>
    </w:p>
    <w:p w14:paraId="27902925">
      <w:pPr>
        <w:jc w:val="center"/>
        <w:rPr>
          <w:rFonts w:ascii="黑体" w:hAnsi="黑体" w:eastAsia="黑体" w:cs="黑体"/>
          <w:sz w:val="32"/>
          <w:szCs w:val="21"/>
        </w:rPr>
      </w:pPr>
      <w:r>
        <w:rPr>
          <w:rFonts w:hint="eastAsia" w:ascii="黑体" w:hAnsi="黑体" w:eastAsia="黑体" w:cs="黑体"/>
          <w:sz w:val="32"/>
          <w:szCs w:val="21"/>
        </w:rPr>
        <w:t>护理案例报告模板</w:t>
      </w:r>
      <w:bookmarkEnd w:id="0"/>
    </w:p>
    <w:p w14:paraId="66113748">
      <w:pPr>
        <w:jc w:val="center"/>
        <w:rPr>
          <w:rFonts w:ascii="黑体" w:hAnsi="黑体" w:eastAsia="黑体" w:cs="黑体"/>
          <w:szCs w:val="21"/>
        </w:rPr>
      </w:pPr>
    </w:p>
    <w:tbl>
      <w:tblPr>
        <w:tblStyle w:val="11"/>
        <w:tblW w:w="10490" w:type="dxa"/>
        <w:tblInd w:w="-1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61"/>
        <w:gridCol w:w="4253"/>
      </w:tblGrid>
      <w:tr w14:paraId="42A6B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276" w:type="dxa"/>
            <w:vAlign w:val="center"/>
          </w:tcPr>
          <w:p w14:paraId="7403BABD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内容</w:t>
            </w:r>
          </w:p>
        </w:tc>
        <w:tc>
          <w:tcPr>
            <w:tcW w:w="4961" w:type="dxa"/>
            <w:vAlign w:val="center"/>
          </w:tcPr>
          <w:p w14:paraId="40974EE4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写作要点</w:t>
            </w:r>
          </w:p>
        </w:tc>
        <w:tc>
          <w:tcPr>
            <w:tcW w:w="4253" w:type="dxa"/>
            <w:vAlign w:val="center"/>
          </w:tcPr>
          <w:p w14:paraId="75199CA8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备注说明</w:t>
            </w:r>
          </w:p>
        </w:tc>
      </w:tr>
      <w:tr w14:paraId="1CC766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76" w:type="dxa"/>
            <w:vAlign w:val="center"/>
          </w:tcPr>
          <w:p w14:paraId="225E4996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题目</w:t>
            </w:r>
          </w:p>
        </w:tc>
        <w:tc>
          <w:tcPr>
            <w:tcW w:w="4961" w:type="dxa"/>
          </w:tcPr>
          <w:p w14:paraId="2F355653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□题目应体现研究类型为“病案报告”</w:t>
            </w:r>
          </w:p>
          <w:p w14:paraId="3CAECCC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□题目可选“【几】例（案、则）/【特殊性】/【疾病名称】/【护理】/【病案报告】（个案/报告）”</w:t>
            </w:r>
          </w:p>
        </w:tc>
        <w:tc>
          <w:tcPr>
            <w:tcW w:w="4253" w:type="dxa"/>
          </w:tcPr>
          <w:p w14:paraId="483D6CD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必填，少于20字，不使用外文缩写词，需体现病例的特殊性和研究重点。</w:t>
            </w:r>
          </w:p>
        </w:tc>
      </w:tr>
      <w:tr w14:paraId="0E3C4B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center"/>
          </w:tcPr>
          <w:p w14:paraId="4E3E85FF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作者署名及其单位</w:t>
            </w:r>
          </w:p>
        </w:tc>
        <w:tc>
          <w:tcPr>
            <w:tcW w:w="4961" w:type="dxa"/>
          </w:tcPr>
          <w:p w14:paraId="29FE4629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□申报人姓名采用姓在前、名在后</w:t>
            </w:r>
          </w:p>
          <w:p w14:paraId="28881E93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□申报人单位填写职称申报单位（如：XX医院，XX大学附属医院，XX中心），具体到二级机构（如XX科室，XX部门）</w:t>
            </w:r>
          </w:p>
          <w:p w14:paraId="2B97D72D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□写明申报人目前职称、专业及拟申报职称、专业</w:t>
            </w:r>
          </w:p>
        </w:tc>
        <w:tc>
          <w:tcPr>
            <w:tcW w:w="4253" w:type="dxa"/>
          </w:tcPr>
          <w:p w14:paraId="5ED06AD6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必填，单位名称需官方准确。</w:t>
            </w:r>
          </w:p>
        </w:tc>
      </w:tr>
      <w:tr w14:paraId="56BD9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76" w:type="dxa"/>
            <w:vAlign w:val="center"/>
          </w:tcPr>
          <w:p w14:paraId="487CBF1D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引言</w:t>
            </w:r>
          </w:p>
        </w:tc>
        <w:tc>
          <w:tcPr>
            <w:tcW w:w="4961" w:type="dxa"/>
          </w:tcPr>
          <w:p w14:paraId="6249B951">
            <w:pPr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□简要总结该病例的背景情况</w:t>
            </w:r>
          </w:p>
          <w:p w14:paraId="6EC0131B">
            <w:pPr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□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撰写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  <w:lang w:val="en-US" w:eastAsia="zh-CN"/>
              </w:rPr>
              <w:t>选取该病例的原因，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</w:rPr>
              <w:t>该病例的特殊性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highlight w:val="none"/>
                <w:lang w:val="en-US" w:eastAsia="zh-CN"/>
              </w:rPr>
              <w:t>工作亮点</w:t>
            </w:r>
          </w:p>
          <w:p w14:paraId="3752A77F">
            <w:pPr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□本病例当前的疗护标准以及本病例的贡献，来源和出处标注参考文献</w:t>
            </w:r>
          </w:p>
        </w:tc>
        <w:tc>
          <w:tcPr>
            <w:tcW w:w="4253" w:type="dxa"/>
          </w:tcPr>
          <w:p w14:paraId="15A620B8">
            <w:pPr>
              <w:rPr>
                <w:rFonts w:asciiTheme="minorEastAsia" w:hAnsi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</w:rPr>
              <w:t>必填，200字以内，客观描述。</w:t>
            </w:r>
          </w:p>
        </w:tc>
      </w:tr>
      <w:tr w14:paraId="47707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490" w:type="dxa"/>
            <w:gridSpan w:val="3"/>
            <w:vAlign w:val="center"/>
          </w:tcPr>
          <w:p w14:paraId="7456A822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1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病例资料</w:t>
            </w:r>
          </w:p>
        </w:tc>
      </w:tr>
      <w:tr w14:paraId="2D358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4" w:hRule="atLeast"/>
        </w:trPr>
        <w:tc>
          <w:tcPr>
            <w:tcW w:w="1276" w:type="dxa"/>
            <w:vAlign w:val="center"/>
          </w:tcPr>
          <w:p w14:paraId="17CD3E80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1.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 xml:space="preserve"> 患者信息及病史</w:t>
            </w:r>
          </w:p>
        </w:tc>
        <w:tc>
          <w:tcPr>
            <w:tcW w:w="4961" w:type="dxa"/>
          </w:tcPr>
          <w:p w14:paraId="12B0EBC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□患者人口学信息、病历号、出入院时间/接诊时间及其他</w:t>
            </w:r>
          </w:p>
          <w:p w14:paraId="7853F87D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□主诉：促使患者本次就诊的主要症状</w:t>
            </w:r>
          </w:p>
          <w:p w14:paraId="2F2B8840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□现病史：按时间顺序、以时间轴为纲对本病例的主要症状和诊疗过程进行描述</w:t>
            </w:r>
          </w:p>
          <w:p w14:paraId="4CE48802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□既往史：家族史，手术史，心理状况，生活方式，遗传信息，流行病学史等，包括既往干预措施和结果</w:t>
            </w:r>
          </w:p>
        </w:tc>
        <w:tc>
          <w:tcPr>
            <w:tcW w:w="4253" w:type="dxa"/>
          </w:tcPr>
          <w:p w14:paraId="4A5DD574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必填，不超过400字，详细、准确，可以辅助图、表，保护患者隐私，注意信息的时效性和完整性。</w:t>
            </w:r>
          </w:p>
        </w:tc>
      </w:tr>
      <w:tr w14:paraId="0F0F9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276" w:type="dxa"/>
            <w:vAlign w:val="center"/>
          </w:tcPr>
          <w:p w14:paraId="3A4F6471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1.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 xml:space="preserve"> 体格检查</w:t>
            </w:r>
          </w:p>
        </w:tc>
        <w:tc>
          <w:tcPr>
            <w:tcW w:w="4961" w:type="dxa"/>
          </w:tcPr>
          <w:p w14:paraId="1F1A6AF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□描述患者的体格检查发现</w:t>
            </w:r>
          </w:p>
          <w:p w14:paraId="03A83A6A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□西医表述（视、触、叩、听）</w:t>
            </w:r>
          </w:p>
          <w:p w14:paraId="206BEF0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□中医表述（望、闻、切）（中医专业填写）</w:t>
            </w:r>
          </w:p>
        </w:tc>
        <w:tc>
          <w:tcPr>
            <w:tcW w:w="4253" w:type="dxa"/>
          </w:tcPr>
          <w:p w14:paraId="1727E91B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必填，不超过200字，阳性发现和重要的阴性体征。</w:t>
            </w:r>
          </w:p>
        </w:tc>
      </w:tr>
      <w:tr w14:paraId="3B177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1276" w:type="dxa"/>
            <w:vAlign w:val="center"/>
          </w:tcPr>
          <w:p w14:paraId="014D1C30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1.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 xml:space="preserve"> 诊断</w:t>
            </w:r>
          </w:p>
        </w:tc>
        <w:tc>
          <w:tcPr>
            <w:tcW w:w="4961" w:type="dxa"/>
          </w:tcPr>
          <w:p w14:paraId="27F06153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□诊断方法：包括实验室检查，影像学检查等</w:t>
            </w:r>
          </w:p>
          <w:p w14:paraId="1D9F67A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□诊断推理：包括鉴别诊断以及其他的诊断</w:t>
            </w:r>
          </w:p>
          <w:p w14:paraId="646E40F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□相关预后的判别与特征（如适用）</w:t>
            </w:r>
          </w:p>
          <w:p w14:paraId="76BA51F3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□中医病案须包括中医诊断、中医辨证和西医诊断</w:t>
            </w:r>
          </w:p>
        </w:tc>
        <w:tc>
          <w:tcPr>
            <w:tcW w:w="4253" w:type="dxa"/>
          </w:tcPr>
          <w:p w14:paraId="46B3B400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必填，不超过400字，阐述诊断依据和鉴别诊断。</w:t>
            </w:r>
          </w:p>
        </w:tc>
      </w:tr>
      <w:tr w14:paraId="078D3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76" w:type="dxa"/>
            <w:vAlign w:val="center"/>
          </w:tcPr>
          <w:p w14:paraId="3BAFDF25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1.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 xml:space="preserve"> 治疗干预</w:t>
            </w:r>
          </w:p>
        </w:tc>
        <w:tc>
          <w:tcPr>
            <w:tcW w:w="4961" w:type="dxa"/>
          </w:tcPr>
          <w:p w14:paraId="52C03C4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□干预类型（如：推荐的生活方式、治疗、药物疗法、中医药、手术、操作等干预方式）</w:t>
            </w:r>
          </w:p>
          <w:p w14:paraId="3069D0A9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□干预管理（如：剂量、强度、持续时间）</w:t>
            </w:r>
          </w:p>
          <w:p w14:paraId="6D939907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□记录干预的变化，以及相应的解释说明</w:t>
            </w:r>
          </w:p>
          <w:p w14:paraId="68A5D18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□其他同时实施的干预</w:t>
            </w:r>
          </w:p>
        </w:tc>
        <w:tc>
          <w:tcPr>
            <w:tcW w:w="4253" w:type="dxa"/>
          </w:tcPr>
          <w:p w14:paraId="266CAEDE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必填，不超过400字，变更需说明理由，阐述诊疗过程。</w:t>
            </w:r>
          </w:p>
        </w:tc>
      </w:tr>
      <w:tr w14:paraId="41D71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0490" w:type="dxa"/>
            <w:gridSpan w:val="3"/>
            <w:vAlign w:val="center"/>
          </w:tcPr>
          <w:p w14:paraId="3350D90A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2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护理</w:t>
            </w:r>
          </w:p>
        </w:tc>
      </w:tr>
      <w:tr w14:paraId="7AA6C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76" w:type="dxa"/>
            <w:vAlign w:val="center"/>
          </w:tcPr>
          <w:p w14:paraId="4D6FE70A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2.1 护理评估</w:t>
            </w:r>
          </w:p>
        </w:tc>
        <w:tc>
          <w:tcPr>
            <w:tcW w:w="4961" w:type="dxa"/>
          </w:tcPr>
          <w:p w14:paraId="1937E3D2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□收集患者生理、心理、社会方面的资料，体现整体护理理念</w:t>
            </w:r>
          </w:p>
          <w:p w14:paraId="6FADF3B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□中医护理评估要以中医理论为基础，遵循整体观及辨证施护原则</w:t>
            </w:r>
          </w:p>
          <w:p w14:paraId="5188EA8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□可根据患者情况进行症状严重程度及风险评估</w:t>
            </w:r>
          </w:p>
        </w:tc>
        <w:tc>
          <w:tcPr>
            <w:tcW w:w="4253" w:type="dxa"/>
          </w:tcPr>
          <w:p w14:paraId="07274BB4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必填，不超过2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00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字，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用科学、公认的评估方法，如量表或测量工具等收集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相关资料。</w:t>
            </w:r>
          </w:p>
        </w:tc>
      </w:tr>
      <w:tr w14:paraId="22810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76" w:type="dxa"/>
            <w:vAlign w:val="center"/>
          </w:tcPr>
          <w:p w14:paraId="60658C48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2.2 护理诊断</w:t>
            </w:r>
          </w:p>
        </w:tc>
        <w:tc>
          <w:tcPr>
            <w:tcW w:w="4961" w:type="dxa"/>
          </w:tcPr>
          <w:p w14:paraId="1342994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□列出护理诊断和顺序</w:t>
            </w:r>
          </w:p>
          <w:p w14:paraId="3D2A810A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D45EE78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必填，不超过2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00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字，须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对护理问题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进行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梳理和凝练，整理出本案例中最需要解决、最值得关注的护理问题，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逐条列出护理诊断，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也便于与后续的护理计划和措施相对应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。</w:t>
            </w:r>
          </w:p>
        </w:tc>
      </w:tr>
      <w:tr w14:paraId="13344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276" w:type="dxa"/>
            <w:vAlign w:val="center"/>
          </w:tcPr>
          <w:p w14:paraId="4216564B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2.3 护理计划</w:t>
            </w:r>
          </w:p>
        </w:tc>
        <w:tc>
          <w:tcPr>
            <w:tcW w:w="4961" w:type="dxa"/>
          </w:tcPr>
          <w:p w14:paraId="0E19FBC2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□确定护理目标，制定护理措施，形成护理计划</w:t>
            </w:r>
          </w:p>
        </w:tc>
        <w:tc>
          <w:tcPr>
            <w:tcW w:w="4253" w:type="dxa"/>
          </w:tcPr>
          <w:p w14:paraId="49D5746C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必填，不超过300字，可以辅助图、表。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应简要说明给予患者某项干预的理由，对发生当前护理问题的原因，预期护理疗效有一定的阐述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。</w:t>
            </w:r>
          </w:p>
        </w:tc>
      </w:tr>
      <w:tr w14:paraId="58CD5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76" w:type="dxa"/>
            <w:vAlign w:val="center"/>
          </w:tcPr>
          <w:p w14:paraId="3A108039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2.4 护理实施</w:t>
            </w:r>
          </w:p>
        </w:tc>
        <w:tc>
          <w:tcPr>
            <w:tcW w:w="4961" w:type="dxa"/>
          </w:tcPr>
          <w:p w14:paraId="2762D7D6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□护理实施的内容和完成时间（包括病情观察，心理护理、饮食护理、用药护理、 生活起居护理、中西医专科护理措施、健康教育、沟通情况等）</w:t>
            </w:r>
          </w:p>
        </w:tc>
        <w:tc>
          <w:tcPr>
            <w:tcW w:w="4253" w:type="dxa"/>
          </w:tcPr>
          <w:p w14:paraId="74E6C76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必填，不超过300字，可以辅助图、表。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需要重点展开的部分，对此部分的描述应详细、具体，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增加理论（循证）依据，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提高干预的准确性和透明度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。</w:t>
            </w:r>
          </w:p>
        </w:tc>
      </w:tr>
      <w:tr w14:paraId="605A7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76" w:type="dxa"/>
            <w:vAlign w:val="center"/>
          </w:tcPr>
          <w:p w14:paraId="28ABB689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2.5 护理评价</w:t>
            </w:r>
          </w:p>
        </w:tc>
        <w:tc>
          <w:tcPr>
            <w:tcW w:w="4961" w:type="dxa"/>
          </w:tcPr>
          <w:p w14:paraId="68BF8010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□病例患者或当事人的主观感受，护理效果，观点或经验</w:t>
            </w:r>
          </w:p>
          <w:p w14:paraId="7B038DA7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□病例患者健康情况或量表的变化或指标的变化</w:t>
            </w:r>
          </w:p>
        </w:tc>
        <w:tc>
          <w:tcPr>
            <w:tcW w:w="4253" w:type="dxa"/>
          </w:tcPr>
          <w:p w14:paraId="2C149377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必填，不超过300字，可以辅助图、表。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描述护理措施的效果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。</w:t>
            </w:r>
          </w:p>
        </w:tc>
      </w:tr>
      <w:tr w14:paraId="0F0EA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0490" w:type="dxa"/>
            <w:gridSpan w:val="3"/>
            <w:vAlign w:val="center"/>
          </w:tcPr>
          <w:p w14:paraId="6B580074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  <w:highlight w:val="yellow"/>
              </w:rPr>
            </w:pP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3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结果和随访</w:t>
            </w:r>
          </w:p>
        </w:tc>
      </w:tr>
      <w:tr w14:paraId="74521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276" w:type="dxa"/>
            <w:vAlign w:val="center"/>
          </w:tcPr>
          <w:p w14:paraId="29556465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3结果和随访</w:t>
            </w:r>
          </w:p>
        </w:tc>
        <w:tc>
          <w:tcPr>
            <w:tcW w:w="4961" w:type="dxa"/>
          </w:tcPr>
          <w:p w14:paraId="0765225F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□临床结果（可包括患者或当事人对结果的评价）</w:t>
            </w:r>
          </w:p>
          <w:p w14:paraId="4F6C10E6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□对干预依从性和耐受性进行评估</w:t>
            </w:r>
          </w:p>
          <w:p w14:paraId="2C2C5EFC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□不良反应和意外事件</w:t>
            </w:r>
          </w:p>
          <w:p w14:paraId="2BDE60D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□重要的随访结果</w:t>
            </w:r>
          </w:p>
        </w:tc>
        <w:tc>
          <w:tcPr>
            <w:tcW w:w="4253" w:type="dxa"/>
          </w:tcPr>
          <w:p w14:paraId="0F1222F2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必填，不超过300字，可以图表辅助。清晰说明治疗结果和患者后续情况，提供长期观察数据。</w:t>
            </w:r>
          </w:p>
        </w:tc>
      </w:tr>
      <w:tr w14:paraId="6617A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0490" w:type="dxa"/>
            <w:gridSpan w:val="3"/>
            <w:vAlign w:val="center"/>
          </w:tcPr>
          <w:p w14:paraId="3FE2FB4E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讨论</w:t>
            </w:r>
          </w:p>
        </w:tc>
      </w:tr>
      <w:tr w14:paraId="26CE8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2" w:hRule="atLeast"/>
        </w:trPr>
        <w:tc>
          <w:tcPr>
            <w:tcW w:w="1276" w:type="dxa"/>
            <w:vAlign w:val="center"/>
          </w:tcPr>
          <w:p w14:paraId="45C4162A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.1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讨论</w:t>
            </w:r>
          </w:p>
        </w:tc>
        <w:tc>
          <w:tcPr>
            <w:tcW w:w="4961" w:type="dxa"/>
          </w:tcPr>
          <w:p w14:paraId="42BAB95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□本病例相关的背景、理论、标准、指南、现状与进展的描述，突出重点</w:t>
            </w:r>
          </w:p>
          <w:p w14:paraId="123C2C31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□本病例的优势和局限性</w:t>
            </w:r>
          </w:p>
          <w:p w14:paraId="52BCCDF5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□对照类似已发表的案例相关文献，找出差异点进行讨论</w:t>
            </w:r>
          </w:p>
          <w:p w14:paraId="508F53C9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□本病例报告的价值所在，护理的作用和价值</w:t>
            </w:r>
          </w:p>
          <w:p w14:paraId="4A071A6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□结论</w:t>
            </w:r>
          </w:p>
          <w:p w14:paraId="2B6918D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□一些可能的发展和应用，如长期随访或新的研究课题</w:t>
            </w:r>
          </w:p>
          <w:p w14:paraId="3FEE3AE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□观点和来源标注参考文献</w:t>
            </w:r>
          </w:p>
        </w:tc>
        <w:tc>
          <w:tcPr>
            <w:tcW w:w="4253" w:type="dxa"/>
          </w:tcPr>
          <w:p w14:paraId="35FEDE87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必填，实质性讨论，避免重复，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lang w:val="en-US" w:eastAsia="zh-CN"/>
              </w:rPr>
              <w:t>突出病例的难点、创新点，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提供深入分析和前瞻性观点。</w:t>
            </w:r>
          </w:p>
        </w:tc>
      </w:tr>
      <w:tr w14:paraId="3EF87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276" w:type="dxa"/>
            <w:vAlign w:val="center"/>
          </w:tcPr>
          <w:p w14:paraId="42EA8586">
            <w:pP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4</w:t>
            </w:r>
            <w: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  <w:t>.2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参考文献</w:t>
            </w:r>
          </w:p>
        </w:tc>
        <w:tc>
          <w:tcPr>
            <w:tcW w:w="4961" w:type="dxa"/>
          </w:tcPr>
          <w:p w14:paraId="3E4068C0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□观点和来源标注参考文献，可包括著作、教材、指南、专家共识等</w:t>
            </w:r>
          </w:p>
          <w:p w14:paraId="6AD60B8C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□按照GB/T 7714-2015规范</w:t>
            </w:r>
          </w:p>
        </w:tc>
        <w:tc>
          <w:tcPr>
            <w:tcW w:w="4253" w:type="dxa"/>
          </w:tcPr>
          <w:p w14:paraId="13DC626D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选填，准确引用，体现研究的学术性和权威性。</w:t>
            </w:r>
          </w:p>
        </w:tc>
      </w:tr>
      <w:tr w14:paraId="70043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0490" w:type="dxa"/>
            <w:gridSpan w:val="3"/>
            <w:vAlign w:val="center"/>
          </w:tcPr>
          <w:p w14:paraId="78928DB5">
            <w:pPr>
              <w:jc w:val="center"/>
              <w:rPr>
                <w:rFonts w:asciiTheme="minorEastAsia" w:hAnsiTheme="minorEastAsia" w:cs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5</w:t>
            </w:r>
            <w:r>
              <w:rPr>
                <w:rFonts w:asciiTheme="minorEastAsia" w:hAnsiTheme="minorEastAsia" w:cstheme="minorEastAsia"/>
                <w:b/>
                <w:sz w:val="18"/>
                <w:szCs w:val="18"/>
              </w:rPr>
              <w:t>.</w:t>
            </w:r>
            <w:r>
              <w:rPr>
                <w:rFonts w:hint="eastAsia" w:asciiTheme="minorEastAsia" w:hAnsiTheme="minorEastAsia" w:cstheme="minorEastAsia"/>
                <w:b/>
                <w:sz w:val="18"/>
                <w:szCs w:val="18"/>
              </w:rPr>
              <w:t>附加材料</w:t>
            </w:r>
          </w:p>
        </w:tc>
      </w:tr>
      <w:tr w14:paraId="50735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276" w:type="dxa"/>
            <w:vAlign w:val="center"/>
          </w:tcPr>
          <w:p w14:paraId="42ACC9C6">
            <w:pPr>
              <w:jc w:val="center"/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</w:rPr>
              <w:t>5附加材料</w:t>
            </w:r>
          </w:p>
        </w:tc>
        <w:tc>
          <w:tcPr>
            <w:tcW w:w="4961" w:type="dxa"/>
          </w:tcPr>
          <w:p w14:paraId="3EF9FAD0">
            <w:pPr>
              <w:pStyle w:val="5"/>
              <w:widowControl/>
              <w:shd w:val="clear" w:color="auto" w:fill="FFFFFF"/>
              <w:spacing w:beforeAutospacing="0" w:afterAutospacing="0"/>
              <w:rPr>
                <w:rFonts w:asciiTheme="minorEastAsia" w:hAnsiTheme="minorEastAsia" w:cstheme="minorEastAsia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cstheme="minorEastAsia"/>
                <w:kern w:val="2"/>
                <w:sz w:val="18"/>
                <w:szCs w:val="18"/>
              </w:rPr>
              <w:t>病案首页/门诊病历</w:t>
            </w:r>
          </w:p>
          <w:p w14:paraId="7FE1E9D7">
            <w:pPr>
              <w:pStyle w:val="5"/>
              <w:widowControl/>
              <w:shd w:val="clear" w:color="auto" w:fill="FFFFFF"/>
              <w:spacing w:beforeAutospacing="0" w:afterAutospacing="0"/>
              <w:rPr>
                <w:rFonts w:asciiTheme="minorEastAsia" w:hAnsiTheme="minorEastAsia" w:cstheme="minorEastAsia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</w:t>
            </w:r>
            <w:r>
              <w:rPr>
                <w:rFonts w:hint="eastAsia" w:asciiTheme="minorEastAsia" w:hAnsiTheme="minorEastAsia" w:cstheme="minorEastAsia"/>
                <w:kern w:val="2"/>
                <w:sz w:val="18"/>
                <w:szCs w:val="18"/>
              </w:rPr>
              <w:t>能够反映申报人贡献的病程记录（如查房意见、病历讨论、会诊记录、手术记录等）</w:t>
            </w:r>
          </w:p>
          <w:p w14:paraId="765E4886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□支持病案报告的检查、报告等</w:t>
            </w:r>
          </w:p>
        </w:tc>
        <w:tc>
          <w:tcPr>
            <w:tcW w:w="4253" w:type="dxa"/>
          </w:tcPr>
          <w:p w14:paraId="6101E2BB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必填，病案资料扫描，注意保护患者隐私。</w:t>
            </w:r>
          </w:p>
        </w:tc>
      </w:tr>
    </w:tbl>
    <w:p w14:paraId="3AF70896">
      <w:pPr>
        <w:rPr>
          <w:rFonts w:asciiTheme="minorEastAsia" w:hAnsiTheme="minorEastAsia" w:cstheme="minorEastAsia"/>
          <w:szCs w:val="21"/>
        </w:rPr>
      </w:pPr>
    </w:p>
    <w:p w14:paraId="7E50B760">
      <w:pPr>
        <w:rPr>
          <w:rFonts w:asciiTheme="minorEastAsia" w:hAnsiTheme="minorEastAsia" w:cstheme="minorEastAsia"/>
          <w:szCs w:val="21"/>
        </w:rPr>
      </w:pPr>
    </w:p>
    <w:p w14:paraId="6C3D04C4">
      <w:pPr>
        <w:rPr>
          <w:rFonts w:asciiTheme="minorEastAsia" w:hAnsiTheme="minorEastAsia" w:cstheme="minorEastAsia"/>
          <w:szCs w:val="21"/>
        </w:rPr>
      </w:pPr>
    </w:p>
    <w:p w14:paraId="0914BC1E">
      <w:pPr>
        <w:rPr>
          <w:rFonts w:asciiTheme="minorEastAsia" w:hAnsiTheme="minorEastAsia" w:cstheme="minorEastAsia"/>
          <w:szCs w:val="21"/>
        </w:rPr>
      </w:pPr>
    </w:p>
    <w:p w14:paraId="31CDFD0D">
      <w:pPr>
        <w:rPr>
          <w:rFonts w:asciiTheme="minorEastAsia" w:hAnsiTheme="minorEastAsia" w:cstheme="minorEastAsia"/>
          <w:szCs w:val="21"/>
        </w:rPr>
      </w:pPr>
    </w:p>
    <w:p w14:paraId="3BE63DCB">
      <w:pPr>
        <w:rPr>
          <w:rFonts w:asciiTheme="minorEastAsia" w:hAnsiTheme="minorEastAsia" w:cstheme="minorEastAsia"/>
          <w:szCs w:val="21"/>
        </w:rPr>
      </w:pPr>
    </w:p>
    <w:p w14:paraId="206CD168">
      <w:pPr>
        <w:rPr>
          <w:rFonts w:asciiTheme="minorEastAsia" w:hAnsiTheme="minorEastAsia" w:cstheme="minorEastAsia"/>
          <w:szCs w:val="21"/>
        </w:rPr>
      </w:pPr>
    </w:p>
    <w:p w14:paraId="17042860">
      <w:pPr>
        <w:spacing w:before="156" w:beforeLines="50" w:line="360" w:lineRule="auto"/>
        <w:contextualSpacing/>
        <w:rPr>
          <w:rFonts w:ascii="黑体" w:hAnsi="黑体" w:cs="Arial"/>
          <w:b/>
          <w:sz w:val="24"/>
          <w:szCs w:val="32"/>
        </w:rPr>
      </w:pPr>
      <w:r>
        <w:rPr>
          <w:rFonts w:hint="eastAsia" w:ascii="黑体" w:hAnsi="黑体" w:cs="Arial"/>
          <w:b/>
          <w:sz w:val="24"/>
          <w:szCs w:val="32"/>
        </w:rPr>
        <w:t>样稿</w:t>
      </w:r>
    </w:p>
    <w:p w14:paraId="6140D7FC">
      <w:pPr>
        <w:ind w:firstLine="643"/>
        <w:rPr>
          <w:rFonts w:ascii="Times New Roman" w:hAnsi="Times New Roman" w:eastAsia="方正小标宋简体"/>
          <w:sz w:val="36"/>
          <w:szCs w:val="36"/>
        </w:rPr>
      </w:pPr>
    </w:p>
    <w:p w14:paraId="4BFD8986">
      <w:pPr>
        <w:ind w:firstLine="643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1例暴发性心肌炎心脏骤停患者的护理案例报告</w:t>
      </w:r>
    </w:p>
    <w:p w14:paraId="3BB688D1">
      <w:pPr>
        <w:ind w:firstLine="420" w:firstLineChars="200"/>
        <w:rPr>
          <w:rFonts w:ascii="Times New Roman" w:hAnsi="Times New Roman" w:eastAsia="宋体"/>
        </w:rPr>
      </w:pPr>
    </w:p>
    <w:p w14:paraId="193EABE8">
      <w:pPr>
        <w:spacing w:before="156" w:beforeLines="50" w:line="360" w:lineRule="auto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>申报人：</w:t>
      </w:r>
      <w:r>
        <w:rPr>
          <w:rFonts w:ascii="Arial" w:hAnsi="Arial" w:cs="Arial"/>
          <w:sz w:val="24"/>
        </w:rPr>
        <w:t xml:space="preserve"> *</w:t>
      </w:r>
      <w:r>
        <w:rPr>
          <w:rFonts w:hint="eastAsia" w:ascii="Arial" w:hAnsi="Arial" w:cs="Arial"/>
          <w:sz w:val="24"/>
        </w:rPr>
        <w:t>*</w:t>
      </w:r>
      <w:r>
        <w:rPr>
          <w:rFonts w:ascii="Arial" w:hAnsi="Arial" w:cs="Arial"/>
          <w:sz w:val="24"/>
        </w:rPr>
        <w:t>*</w:t>
      </w:r>
    </w:p>
    <w:p w14:paraId="654D4FCF">
      <w:pPr>
        <w:spacing w:before="156" w:beforeLines="50" w:line="360" w:lineRule="auto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>单</w:t>
      </w:r>
      <w:r>
        <w:rPr>
          <w:rFonts w:hint="eastAsia"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 位：</w:t>
      </w:r>
      <w:r>
        <w:rPr>
          <w:rFonts w:hint="eastAsia"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sz w:val="24"/>
        </w:rPr>
        <w:t>***医院，</w:t>
      </w:r>
      <w:r>
        <w:rPr>
          <w:rFonts w:hint="eastAsia" w:ascii="Arial" w:hAnsi="Arial" w:cs="Arial"/>
          <w:sz w:val="24"/>
        </w:rPr>
        <w:t>***科</w:t>
      </w:r>
    </w:p>
    <w:p w14:paraId="0479007B">
      <w:pPr>
        <w:spacing w:before="156" w:beforeLines="50" w:line="360" w:lineRule="auto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>目前职称：</w:t>
      </w:r>
      <w:r>
        <w:rPr>
          <w:rFonts w:hint="eastAsia" w:ascii="Arial" w:hAnsi="Arial" w:cs="Arial"/>
          <w:sz w:val="24"/>
        </w:rPr>
        <w:t>主管护师</w:t>
      </w:r>
    </w:p>
    <w:p w14:paraId="0F367DC0">
      <w:pPr>
        <w:spacing w:before="156" w:beforeLines="50" w:line="360" w:lineRule="auto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>拟申请职称：</w:t>
      </w:r>
      <w:r>
        <w:rPr>
          <w:rFonts w:hint="eastAsia" w:ascii="Arial" w:hAnsi="Arial" w:cs="Arial"/>
          <w:sz w:val="24"/>
        </w:rPr>
        <w:t>副</w:t>
      </w:r>
      <w:r>
        <w:rPr>
          <w:rFonts w:ascii="Arial" w:hAnsi="Arial" w:cs="Arial"/>
          <w:sz w:val="24"/>
        </w:rPr>
        <w:t>主任</w:t>
      </w:r>
      <w:r>
        <w:rPr>
          <w:rFonts w:hint="eastAsia" w:ascii="Arial" w:hAnsi="Arial" w:cs="Arial"/>
          <w:sz w:val="24"/>
        </w:rPr>
        <w:t>护师</w:t>
      </w:r>
    </w:p>
    <w:p w14:paraId="277E120B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4"/>
        </w:rPr>
        <w:t>拟申请专业</w:t>
      </w:r>
      <w:r>
        <w:rPr>
          <w:rFonts w:ascii="Arial" w:hAnsi="Arial" w:cs="Arial"/>
          <w:sz w:val="24"/>
        </w:rPr>
        <w:t>：</w:t>
      </w:r>
      <w:r>
        <w:rPr>
          <w:rFonts w:hint="eastAsia" w:ascii="Arial" w:hAnsi="Arial" w:cs="Arial"/>
          <w:sz w:val="24"/>
        </w:rPr>
        <w:t>护理学</w:t>
      </w:r>
    </w:p>
    <w:p w14:paraId="5DD17A66">
      <w:pPr>
        <w:ind w:firstLine="420" w:firstLineChars="200"/>
        <w:rPr>
          <w:rFonts w:ascii="Times New Roman" w:hAnsi="Times New Roman" w:eastAsia="宋体"/>
        </w:rPr>
      </w:pPr>
    </w:p>
    <w:p w14:paraId="20FBEF75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暴发性心肌炎(fulminant myocarditis,FM)是心肌炎最为严重和特殊的类型，其特征是突然和严重的弥漫性心脏炎症，通常需要机械循环支持来维持循环和组织灌注。体外膜肺氧合（extracorporeal membrane oxygenation,ECMO）是一种持续的体外生命支持手段，有两种不同的工作模式，即静脉到静脉（venovenous ECMO,VV-ECMO）和静脉至动脉（venous-arterial ECMO,VA-ECMO）。VV-ECMO模式仅具有呼吸辅助功能，VA-ECMO模式同时具有循环和呼吸辅助作用，可用于心脏骤停期间患者的复苏。本文总结1例暴发性心肌炎心脏骤停患者行VA-ECMO治疗的护理经验，现报告如下。</w:t>
      </w:r>
    </w:p>
    <w:p w14:paraId="62A03234">
      <w:pPr>
        <w:spacing w:line="360" w:lineRule="auto"/>
        <w:rPr>
          <w:rFonts w:ascii="Times New Roman" w:hAnsi="Times New Roman"/>
          <w:b/>
          <w:bCs/>
          <w:sz w:val="24"/>
        </w:rPr>
      </w:pPr>
    </w:p>
    <w:p w14:paraId="7FDCCD1A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1.</w:t>
      </w:r>
      <w:r>
        <w:rPr>
          <w:rFonts w:hint="eastAsia" w:ascii="Times New Roman" w:hAnsi="Times New Roman"/>
          <w:b/>
          <w:bCs/>
          <w:sz w:val="24"/>
        </w:rPr>
        <w:t>病例资料</w:t>
      </w:r>
    </w:p>
    <w:p w14:paraId="5023D7DA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1.1 患者信息及病史</w:t>
      </w:r>
    </w:p>
    <w:p w14:paraId="6D9B0252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患者男性，35岁，主因“咳嗽咳痰胸闷半月余，突发意识丧失5min”于2023年11月28日18:11就诊于急诊科，即予心肺复苏术，22次非同步200J电除颤，建立静脉通路给予补液、强心治疗。心血管科会诊行ECMO辅助维持心肺功能，11月29日10:00在手术室行ECMO安装术，14:24收入监护室治疗。患者呈镇静状态，持续气管插管外接有创呼吸机辅助呼吸，VA-ECMO辅助循环，左桡动脉血压监测，右颈内深静脉置管，留置胃管、尿管。</w:t>
      </w:r>
    </w:p>
    <w:p w14:paraId="4883775B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1.2 体格检查</w:t>
      </w:r>
    </w:p>
    <w:p w14:paraId="6294DB06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入院查体：患者呈镇静状态，听诊双肺呼吸音粗糙。心脏专科检查：叩诊心界无扩大，各瓣膜听诊区未闻及病理性杂音。中医望闻切：患者体型中等，面色偏暗，未闻及特殊气味及异常声音，脉沉细。既往体健，否认药物及食物过敏史。实验室检查：白细胞（WBC）23.96×10</w:t>
      </w:r>
      <w:r>
        <w:rPr>
          <w:rFonts w:hint="eastAsia" w:ascii="Times New Roman" w:hAnsi="Times New Roman"/>
          <w:sz w:val="24"/>
          <w:vertAlign w:val="superscript"/>
        </w:rPr>
        <w:t>9</w:t>
      </w:r>
      <w:r>
        <w:rPr>
          <w:rFonts w:hint="eastAsia" w:ascii="Times New Roman" w:hAnsi="Times New Roman"/>
          <w:sz w:val="24"/>
        </w:rPr>
        <w:t>/L，C-反应蛋白（CRP）74.59mg/L，心肌肌钙蛋白（cTNI）32.49ng/mL，肌酸激酶（CK）7363.9U/L，白蛋白（ALB）31.7g/L，血红蛋白（HGB）112g/L。胸片检查：双肺感染。B超检查：左室壁运动异常，左心功能减低。</w:t>
      </w:r>
    </w:p>
    <w:p w14:paraId="72272CAF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1.3 诊断</w:t>
      </w:r>
    </w:p>
    <w:p w14:paraId="719EB6DE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中医诊断：卒心痛；证型：痰瘀互结证。西医诊断：暴发性心肌炎。</w:t>
      </w:r>
    </w:p>
    <w:p w14:paraId="225B7C9E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1.4 治疗干预</w:t>
      </w:r>
    </w:p>
    <w:p w14:paraId="3E1B3007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予中医内科特级护理，24h心电监护，持续气管插管外接有创呼吸机辅助呼吸，VA-ECMO辅助循环。西医治疗以抗感染、营养心肌细胞、纠正电解质紊乱为主，中医治疗以豁痰开结、活血通脉为主，治疗过程如图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所示。</w:t>
      </w:r>
    </w:p>
    <w:p w14:paraId="0A8E8D6E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drawing>
          <wp:inline distT="0" distB="0" distL="0" distR="0">
            <wp:extent cx="5925185" cy="1996440"/>
            <wp:effectExtent l="0" t="0" r="18415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723720D5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drawing>
          <wp:inline distT="0" distB="0" distL="114300" distR="114300">
            <wp:extent cx="5774690" cy="1821815"/>
            <wp:effectExtent l="0" t="0" r="1270" b="0"/>
            <wp:docPr id="2" name="图片 2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4690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8725D">
      <w:pPr>
        <w:spacing w:line="360" w:lineRule="auto"/>
        <w:jc w:val="center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图1治疗过程</w:t>
      </w:r>
    </w:p>
    <w:p w14:paraId="4210BB85">
      <w:pPr>
        <w:spacing w:line="360" w:lineRule="auto"/>
        <w:rPr>
          <w:rFonts w:ascii="Times New Roman" w:hAnsi="Times New Roman" w:cs="宋体"/>
          <w:b/>
          <w:sz w:val="24"/>
        </w:rPr>
      </w:pPr>
      <w:r>
        <w:rPr>
          <w:rFonts w:hint="eastAsia" w:ascii="Times New Roman" w:hAnsi="Times New Roman"/>
          <w:b/>
          <w:sz w:val="24"/>
        </w:rPr>
        <w:t>2.护理</w:t>
      </w:r>
    </w:p>
    <w:p w14:paraId="5397798F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2.1护理评估</w:t>
      </w:r>
    </w:p>
    <w:p w14:paraId="7857C097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患者意识为镇静状态，镇痛镇静评分（RASS）为-4分，属重度镇静；痰液黏稠，属于Ⅲ度重度黏痰；营养状况评分为4分，提示有营养风险；深静脉血栓（DVT）评分为20分，属于高危；压力性损伤风险评估（Braden）评分为9分，属极高危；Morse跌倒评分为50分，属于高度危险；自理能力评分（Barthel）为0分，完全需人照料。存在的护理问题为清理呼吸道无效，有血栓形成、感染、压力性损伤形成的风险。</w:t>
      </w:r>
    </w:p>
    <w:p w14:paraId="3773BA2B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2.2护理诊断</w:t>
      </w:r>
    </w:p>
    <w:p w14:paraId="44510DB0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2.2.1清理呼吸道无效：与患者镇静、无法自主咳痰有关。</w:t>
      </w:r>
    </w:p>
    <w:p w14:paraId="4D79EB83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2.2.2气体交换受损：与痰液黏稠有关。</w:t>
      </w:r>
    </w:p>
    <w:p w14:paraId="629C75D8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2.2.3有感染的风险：与留置ECMO管路、尿管、深静脉置管有关。</w:t>
      </w:r>
    </w:p>
    <w:p w14:paraId="40786B48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2.3护理计划</w:t>
      </w:r>
    </w:p>
    <w:p w14:paraId="3A2F8AC5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结合患者症状，制定护理计划：加强VA-ECMO护理，成功撤机拔管；加强气道护理，成功脱机拔管；避免管路相关性感染。</w:t>
      </w:r>
    </w:p>
    <w:p w14:paraId="365C748A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2.4护理实施</w:t>
      </w:r>
    </w:p>
    <w:p w14:paraId="4419F018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2.4.1采用多学科合作模式，组建ECMO特护小组</w:t>
      </w:r>
    </w:p>
    <w:p w14:paraId="09CC2D7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迅速组建ECMO特护小组，包括外科医生、内科医生、责任护士、体外循环师。责任护士准备急救药品物品、接收患者实施护理；外科医生负责ECMO置管和撤除管路；内科医生负责病情管理及各种仪器参数设定；体外循环师负责调试ECMO相关参数。患者入科后，责任护士与巡回护士交接病情，核对各种管路及用药。护士严密观察患者生命体征，每2h复查血气和激活全血凝固时间（activated clotting time,ACT），监测电解质和酸碱平衡状况，警惕因电解质紊乱导致的恶性心律失常，患者入院后未再发生恶性心律失常。</w:t>
      </w:r>
    </w:p>
    <w:p w14:paraId="6FDD02DC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2.4.2制定ECMO护理方案，实施全方位精细化护理</w:t>
      </w:r>
    </w:p>
    <w:p w14:paraId="1E77856D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制定ECMO护理方案，具体包括管路护理、参数设置、抗凝护理和并发症的观察与护理。①管路护理：</w:t>
      </w:r>
      <w:r>
        <w:rPr>
          <w:rFonts w:ascii="Times New Roman" w:hAnsi="Times New Roman"/>
          <w:sz w:val="24"/>
        </w:rPr>
        <w:t>ECMO管路固定极其重要，体外管路沿肢体平行固定，护士应每小时严格检查管路，</w:t>
      </w:r>
      <w:r>
        <w:rPr>
          <w:rFonts w:hint="eastAsia" w:ascii="Times New Roman" w:hAnsi="Times New Roman"/>
          <w:sz w:val="24"/>
        </w:rPr>
        <w:t>观察膜肺及管路内有无血栓形成，检查方法为使用手电筒照射整个体外循环管路。观察</w:t>
      </w:r>
      <w:r>
        <w:rPr>
          <w:rFonts w:ascii="Times New Roman" w:hAnsi="Times New Roman"/>
          <w:sz w:val="24"/>
        </w:rPr>
        <w:t>管道是否发生震动现象。</w:t>
      </w:r>
      <w:r>
        <w:rPr>
          <w:rFonts w:hint="eastAsia" w:ascii="Times New Roman" w:hAnsi="Times New Roman"/>
          <w:sz w:val="24"/>
        </w:rPr>
        <w:t>②合理设置参数：密切观察流量与转速，根据动脉血气结果、尿量等动态调节。该患者ECMO使用期间转速在2800r/min，气流量2.4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2.6L/min，氧浓度60%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80%，水箱温度设36</w:t>
      </w:r>
      <w:r>
        <w:rPr>
          <w:rFonts w:hint="eastAsia" w:ascii="宋体" w:hAnsi="宋体"/>
          <w:sz w:val="24"/>
        </w:rPr>
        <w:t>℃～</w:t>
      </w:r>
      <w:r>
        <w:rPr>
          <w:rFonts w:hint="eastAsia" w:ascii="Times New Roman" w:hAnsi="Times New Roman"/>
          <w:sz w:val="24"/>
        </w:rPr>
        <w:t>37℃。③抗凝护理：全程开启抗凝治疗，每2h检测ACT/APTT一次，目标值ACT为180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210s，APTT为50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70s。④并发症观察与护理：ECMO运转期间常见的并发症有出血和血栓、感染、溶血等，密切观察并做好护理。</w:t>
      </w:r>
    </w:p>
    <w:p w14:paraId="04F0E830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2.4.3维持人工气道通畅，加强安全气道管理</w:t>
      </w:r>
    </w:p>
    <w:p w14:paraId="0D805D9A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保持气道通畅，监测气囊压力，使气囊压力维持在25～30cmH</w:t>
      </w:r>
      <w:r>
        <w:rPr>
          <w:rFonts w:hint="eastAsia" w:ascii="Times New Roman" w:hAnsi="Times New Roman"/>
          <w:sz w:val="24"/>
          <w:vertAlign w:val="subscript"/>
        </w:rPr>
        <w:t>2</w:t>
      </w:r>
      <w:r>
        <w:rPr>
          <w:rFonts w:hint="eastAsia" w:ascii="Times New Roman" w:hAnsi="Times New Roman"/>
          <w:sz w:val="24"/>
        </w:rPr>
        <w:t>O，并妥善固定。加强人工气道的湿化处理，根据患者的痰液情况及呼吸机管路湿化的情况调节管路湿化。吸痰时严格无菌操作，密切观察血氧饱和度并记录。</w:t>
      </w:r>
    </w:p>
    <w:p w14:paraId="0763892F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2.4.4精准辨证施护，实施个性化中医特色护理</w:t>
      </w:r>
    </w:p>
    <w:p w14:paraId="7E03EBE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患者入院5d未排大便，肠鸣音为2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3次/min，辨证为痰热腑实证，遵医嘱予中药口腔护理以清热解毒，手指点穴及中药膏摩技术以行气通腹。</w:t>
      </w:r>
      <w:r>
        <w:rPr>
          <w:rFonts w:hint="eastAsia" w:ascii="宋体" w:hAnsi="宋体"/>
          <w:sz w:val="24"/>
        </w:rPr>
        <w:t>①</w:t>
      </w:r>
      <w:r>
        <w:rPr>
          <w:rFonts w:hint="eastAsia" w:ascii="Times New Roman" w:hAnsi="Times New Roman"/>
          <w:sz w:val="24"/>
        </w:rPr>
        <w:t>中药口护：中药口腔护理可以有效地预防机械通气患者的VAP的发生，同时改善患者口腔环境，提高患者舒适度。针对该患者中医辨证结果，将金银花、薄荷、菊花、连翘各10g组方代煎中药外用汤剂，行口腔护理，2次/d。</w:t>
      </w:r>
      <w:r>
        <w:rPr>
          <w:rFonts w:hint="eastAsia" w:ascii="宋体" w:hAnsi="宋体"/>
          <w:sz w:val="24"/>
        </w:rPr>
        <w:t>②</w:t>
      </w:r>
      <w:r>
        <w:rPr>
          <w:rFonts w:hint="eastAsia" w:ascii="Times New Roman" w:hAnsi="Times New Roman"/>
          <w:sz w:val="24"/>
        </w:rPr>
        <w:t>手指点穴及中药膏摩：针对该患者的中医辨证结果，将厚朴、陈皮、麸炒枳实、麸炒白术、木香五味中药各20g组方配方颗粒，用凡士林调成中药膏，涂抹于患者腹部，采用指推法按照小肠、升结肠、横结肠、降结肠的顺时针走向按摩全腹，点按中脘穴（脐中上4寸）、气海穴（脐下1.5寸）、关元穴（脐中下3寸），每穴1min，再用掌根按揉神阙穴，1次/d，20min/次，5d为1个疗程，1个疗程后患者正常日行一便。</w:t>
      </w:r>
    </w:p>
    <w:p w14:paraId="68BBF94B"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2.5护理评价</w:t>
      </w:r>
    </w:p>
    <w:p w14:paraId="55EF7684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经过15d的护理，患者转入普通病房，各评估量表评价结果详见表1。</w:t>
      </w:r>
    </w:p>
    <w:p w14:paraId="6AA7FE49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体温及相关血液检查评价显示，患者体温、CRP、cTNI、CKMB、ALB均达到正常范围，WBC略高于正常指标，HGB稍低于正常值，详见表2。</w:t>
      </w:r>
    </w:p>
    <w:p w14:paraId="6D754846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 w14:paraId="2E475FA1">
      <w:pPr>
        <w:jc w:val="center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表1量表评分变化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906"/>
        <w:gridCol w:w="1361"/>
        <w:gridCol w:w="1122"/>
        <w:gridCol w:w="883"/>
        <w:gridCol w:w="1050"/>
        <w:gridCol w:w="983"/>
        <w:gridCol w:w="1061"/>
      </w:tblGrid>
      <w:tr w14:paraId="42250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4F037EDD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评估时间</w:t>
            </w:r>
          </w:p>
        </w:tc>
        <w:tc>
          <w:tcPr>
            <w:tcW w:w="90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1A430798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18"/>
              </w:rPr>
              <w:t>RASS/分</w:t>
            </w:r>
          </w:p>
        </w:tc>
        <w:tc>
          <w:tcPr>
            <w:tcW w:w="136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193009B8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气道评估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62AE7901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16"/>
              </w:rPr>
              <w:t>NRS-2002/分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56E5C5E3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DVT/分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4936A4D6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Braden/分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38B6C09F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Morse/分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2CA169E6">
            <w:pPr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</w:rPr>
              <w:t>Barthel/分</w:t>
            </w:r>
          </w:p>
        </w:tc>
      </w:tr>
      <w:tr w14:paraId="40D5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02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01852A7">
            <w:pPr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</w:rPr>
              <w:t>11.29</w:t>
            </w:r>
          </w:p>
        </w:tc>
        <w:tc>
          <w:tcPr>
            <w:tcW w:w="906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6233F42">
            <w:pPr>
              <w:rPr>
                <w:rFonts w:ascii="Times New Roman" w:hAnsi="Times New Roman"/>
                <w:szCs w:val="13"/>
              </w:rPr>
            </w:pPr>
            <w:r>
              <w:rPr>
                <w:rFonts w:hint="eastAsia" w:ascii="Times New Roman" w:hAnsi="Times New Roman"/>
              </w:rPr>
              <w:t>-4</w:t>
            </w:r>
          </w:p>
        </w:tc>
        <w:tc>
          <w:tcPr>
            <w:tcW w:w="1361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5C9B028">
            <w:pPr>
              <w:rPr>
                <w:rFonts w:ascii="Times New Roman" w:hAnsi="Times New Roman"/>
                <w:szCs w:val="18"/>
              </w:rPr>
            </w:pPr>
            <w:r>
              <w:rPr>
                <w:rFonts w:hint="eastAsia" w:ascii="Times New Roman" w:hAnsi="Times New Roman"/>
              </w:rPr>
              <w:t>重度黏痰</w:t>
            </w:r>
          </w:p>
        </w:tc>
        <w:tc>
          <w:tcPr>
            <w:tcW w:w="1122" w:type="dxa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0F295AB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2360237B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04ED8EDD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1688F72B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 w14:paraId="6121F01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</w:tr>
      <w:tr w14:paraId="0C26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F5341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12.05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6C799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-2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848B7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中度黏痰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F76F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9DAC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31619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5B5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BDB1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/</w:t>
            </w:r>
          </w:p>
        </w:tc>
      </w:tr>
      <w:tr w14:paraId="11524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85C2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12.08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C0EE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A14F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少量黏痰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DCBD4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00FA1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5A22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A885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201B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50</w:t>
            </w:r>
          </w:p>
        </w:tc>
      </w:tr>
      <w:tr w14:paraId="2053F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0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36A8550E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12.13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B4B9760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408D048F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少量稀薄痰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0F7B2E75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7C9D4347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5AC40388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749D8C37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0D7BAB97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85</w:t>
            </w:r>
          </w:p>
        </w:tc>
      </w:tr>
    </w:tbl>
    <w:p w14:paraId="72FE9A1A">
      <w:pPr>
        <w:rPr>
          <w:rFonts w:ascii="Times New Roman" w:hAnsi="Times New Roman" w:eastAsia="宋体"/>
        </w:rPr>
      </w:pPr>
    </w:p>
    <w:p w14:paraId="33B0904A">
      <w:pPr>
        <w:jc w:val="center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表2体温及相关血液检查结果变化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595"/>
        <w:gridCol w:w="1265"/>
        <w:gridCol w:w="1231"/>
        <w:gridCol w:w="1350"/>
        <w:gridCol w:w="1182"/>
        <w:gridCol w:w="1074"/>
        <w:gridCol w:w="1082"/>
      </w:tblGrid>
      <w:tr w14:paraId="198F5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D3E48B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检查时间</w:t>
            </w:r>
          </w:p>
        </w:tc>
        <w:tc>
          <w:tcPr>
            <w:tcW w:w="5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6787F1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体温/℃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6DB97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WBC/（10</w:t>
            </w:r>
            <w:r>
              <w:rPr>
                <w:rFonts w:hint="eastAsia" w:ascii="Times New Roman" w:hAnsi="Times New Roman" w:eastAsia="宋体"/>
                <w:vertAlign w:val="superscript"/>
              </w:rPr>
              <w:t>9</w:t>
            </w:r>
            <w:r>
              <w:rPr>
                <w:rFonts w:hint="eastAsia" w:ascii="Times New Roman" w:hAnsi="Times New Roman" w:eastAsia="宋体"/>
              </w:rPr>
              <w:t>/L）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29DE9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CRP/（mg/L）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302C1C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cTNI/（ng/mL）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06D36B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CKMB/（U/L）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564E5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ALB/（g/L）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9354F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HGB/（g/L）</w:t>
            </w:r>
          </w:p>
        </w:tc>
      </w:tr>
      <w:tr w14:paraId="019D5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43" w:type="dxa"/>
            <w:tcBorders>
              <w:top w:val="single" w:color="auto" w:sz="4" w:space="0"/>
            </w:tcBorders>
            <w:vAlign w:val="center"/>
          </w:tcPr>
          <w:p w14:paraId="789B7A60">
            <w:pPr>
              <w:rPr>
                <w:rFonts w:ascii="Times New Roman" w:hAnsi="Times New Roman" w:eastAsia="宋体"/>
                <w:szCs w:val="16"/>
              </w:rPr>
            </w:pPr>
            <w:r>
              <w:rPr>
                <w:rFonts w:hint="eastAsia" w:ascii="Times New Roman" w:hAnsi="Times New Roman" w:eastAsia="宋体"/>
              </w:rPr>
              <w:t>11.29</w:t>
            </w:r>
          </w:p>
        </w:tc>
        <w:tc>
          <w:tcPr>
            <w:tcW w:w="595" w:type="dxa"/>
            <w:tcBorders>
              <w:top w:val="single" w:color="auto" w:sz="4" w:space="0"/>
            </w:tcBorders>
            <w:vAlign w:val="center"/>
          </w:tcPr>
          <w:p w14:paraId="7BB05748">
            <w:pPr>
              <w:rPr>
                <w:rFonts w:ascii="Times New Roman" w:hAnsi="Times New Roman" w:eastAsia="宋体"/>
                <w:szCs w:val="13"/>
              </w:rPr>
            </w:pPr>
            <w:r>
              <w:rPr>
                <w:rFonts w:hint="eastAsia" w:ascii="Times New Roman" w:hAnsi="Times New Roman" w:eastAsia="宋体"/>
              </w:rPr>
              <w:t>36.5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15261ED2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23.96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52804AF5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74.59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09756E2E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32.49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73AC105C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76.5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461D6CDF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31.7</w:t>
            </w:r>
          </w:p>
        </w:tc>
        <w:tc>
          <w:tcPr>
            <w:tcW w:w="0" w:type="auto"/>
            <w:tcBorders>
              <w:top w:val="single" w:color="auto" w:sz="4" w:space="0"/>
            </w:tcBorders>
            <w:vAlign w:val="center"/>
          </w:tcPr>
          <w:p w14:paraId="47D43251">
            <w:pPr>
              <w:rPr>
                <w:rFonts w:ascii="Times New Roman" w:hAnsi="Times New Roman" w:eastAsia="宋体"/>
                <w:szCs w:val="18"/>
              </w:rPr>
            </w:pPr>
            <w:r>
              <w:rPr>
                <w:rFonts w:hint="eastAsia" w:ascii="Times New Roman" w:hAnsi="Times New Roman" w:eastAsia="宋体"/>
              </w:rPr>
              <w:t>112</w:t>
            </w:r>
          </w:p>
        </w:tc>
      </w:tr>
      <w:tr w14:paraId="36338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43" w:type="dxa"/>
            <w:vAlign w:val="center"/>
          </w:tcPr>
          <w:p w14:paraId="2E8F625D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12.03</w:t>
            </w:r>
          </w:p>
        </w:tc>
        <w:tc>
          <w:tcPr>
            <w:tcW w:w="595" w:type="dxa"/>
            <w:vAlign w:val="center"/>
          </w:tcPr>
          <w:p w14:paraId="2319840C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37.2</w:t>
            </w:r>
          </w:p>
        </w:tc>
        <w:tc>
          <w:tcPr>
            <w:tcW w:w="0" w:type="auto"/>
            <w:vAlign w:val="center"/>
          </w:tcPr>
          <w:p w14:paraId="767251BB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14.12</w:t>
            </w:r>
          </w:p>
        </w:tc>
        <w:tc>
          <w:tcPr>
            <w:tcW w:w="0" w:type="auto"/>
            <w:vAlign w:val="center"/>
          </w:tcPr>
          <w:p w14:paraId="7BB831C7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66.37</w:t>
            </w:r>
          </w:p>
        </w:tc>
        <w:tc>
          <w:tcPr>
            <w:tcW w:w="0" w:type="auto"/>
            <w:vAlign w:val="center"/>
          </w:tcPr>
          <w:p w14:paraId="093AD8D3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13.74</w:t>
            </w:r>
          </w:p>
        </w:tc>
        <w:tc>
          <w:tcPr>
            <w:tcW w:w="0" w:type="auto"/>
            <w:vAlign w:val="center"/>
          </w:tcPr>
          <w:p w14:paraId="08EAACF6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1.57</w:t>
            </w:r>
          </w:p>
        </w:tc>
        <w:tc>
          <w:tcPr>
            <w:tcW w:w="0" w:type="auto"/>
            <w:vAlign w:val="center"/>
          </w:tcPr>
          <w:p w14:paraId="5A4C0C37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35.8</w:t>
            </w:r>
          </w:p>
        </w:tc>
        <w:tc>
          <w:tcPr>
            <w:tcW w:w="0" w:type="auto"/>
            <w:vAlign w:val="center"/>
          </w:tcPr>
          <w:p w14:paraId="3367C748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79</w:t>
            </w:r>
          </w:p>
        </w:tc>
      </w:tr>
      <w:tr w14:paraId="1FBF7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43" w:type="dxa"/>
            <w:vAlign w:val="center"/>
          </w:tcPr>
          <w:p w14:paraId="6D0D9FF4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12.07</w:t>
            </w:r>
          </w:p>
        </w:tc>
        <w:tc>
          <w:tcPr>
            <w:tcW w:w="595" w:type="dxa"/>
            <w:vAlign w:val="center"/>
          </w:tcPr>
          <w:p w14:paraId="5DC20576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38.1</w:t>
            </w:r>
          </w:p>
        </w:tc>
        <w:tc>
          <w:tcPr>
            <w:tcW w:w="0" w:type="auto"/>
            <w:vAlign w:val="center"/>
          </w:tcPr>
          <w:p w14:paraId="6A4D5C53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18.00</w:t>
            </w:r>
          </w:p>
        </w:tc>
        <w:tc>
          <w:tcPr>
            <w:tcW w:w="0" w:type="auto"/>
            <w:vAlign w:val="center"/>
          </w:tcPr>
          <w:p w14:paraId="3688B323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59.66</w:t>
            </w:r>
          </w:p>
        </w:tc>
        <w:tc>
          <w:tcPr>
            <w:tcW w:w="0" w:type="auto"/>
            <w:vAlign w:val="center"/>
          </w:tcPr>
          <w:p w14:paraId="0E90CE02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1.46</w:t>
            </w:r>
          </w:p>
        </w:tc>
        <w:tc>
          <w:tcPr>
            <w:tcW w:w="0" w:type="auto"/>
            <w:vAlign w:val="center"/>
          </w:tcPr>
          <w:p w14:paraId="28D2E12B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1.26</w:t>
            </w:r>
          </w:p>
        </w:tc>
        <w:tc>
          <w:tcPr>
            <w:tcW w:w="0" w:type="auto"/>
            <w:vAlign w:val="center"/>
          </w:tcPr>
          <w:p w14:paraId="17FCAC40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40.5</w:t>
            </w:r>
          </w:p>
        </w:tc>
        <w:tc>
          <w:tcPr>
            <w:tcW w:w="0" w:type="auto"/>
            <w:vAlign w:val="center"/>
          </w:tcPr>
          <w:p w14:paraId="57B8B7B3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108</w:t>
            </w:r>
          </w:p>
        </w:tc>
      </w:tr>
      <w:tr w14:paraId="2433E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vAlign w:val="center"/>
          </w:tcPr>
          <w:p w14:paraId="27BDEBFE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12.13</w:t>
            </w:r>
          </w:p>
        </w:tc>
        <w:tc>
          <w:tcPr>
            <w:tcW w:w="595" w:type="dxa"/>
            <w:tcBorders>
              <w:bottom w:val="single" w:color="auto" w:sz="4" w:space="0"/>
            </w:tcBorders>
            <w:vAlign w:val="center"/>
          </w:tcPr>
          <w:p w14:paraId="1746CFF0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36.3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24C2F2B3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10.28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45F68972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6.7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3920C745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＜0.1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2C059A3F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1.21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2362155D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41.1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 w14:paraId="6BC90617">
            <w:pPr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116</w:t>
            </w:r>
          </w:p>
        </w:tc>
      </w:tr>
    </w:tbl>
    <w:p w14:paraId="1EEC9E4C">
      <w:pPr>
        <w:rPr>
          <w:rFonts w:ascii="Times New Roman" w:hAnsi="Times New Roman" w:eastAsia="宋体"/>
          <w:b/>
        </w:rPr>
      </w:pPr>
    </w:p>
    <w:p w14:paraId="584D1DA1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>结果和随访</w:t>
      </w:r>
    </w:p>
    <w:p w14:paraId="71DCC1D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12月19日患者各项功能及指标基本恢复正常，达到出院标准，住院期间无不良事件及意外事件发生。一个月后，电话随访，患者已完全康复，融入正常社会生活中。</w:t>
      </w:r>
    </w:p>
    <w:p w14:paraId="5B52452B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>讨论</w:t>
      </w:r>
    </w:p>
    <w:p w14:paraId="28C39534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FM起病急骤，病情进展极其迅速，本案例患者入院有上呼吸道感染病史，胸闷、气促等症状，突发呼吸心跳骤停、室颤，肌酸激酶、肌钙蛋白均显著升高，心脏超声提示左室壁运动异常，根据2017年《成人暴发性心肌炎诊断与治疗中国专家共识》诊断为FM成立。FM早期病死率极高，药物和机械支持治疗后的院内病死率仍可高达40%～80%。本案例患者经过积极救治和精心护理，患者转危为安，该案例的成功取决于以下三点。</w:t>
      </w:r>
    </w:p>
    <w:p w14:paraId="031B21CD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第一，成立ECMO团队，实施多学科协作。第一时间内组成ECMO特护小组，启动护患比1:1特护模式，团队小组成员均为经验丰富的骨干医护、体外循环师，多学科合作，全力救治。</w:t>
      </w:r>
    </w:p>
    <w:p w14:paraId="4932D77C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第二，ECMO及时应用，联合多种治疗手段。ECMO对暴发性心肌炎的救治作用已得到大量临床数据支持，早期应用机械循环辅助度过急性期是改善预后的关键。本案例患者在发病10h内应用ECMO维持循环功能，应用有创呼吸机维持呼吸功能，给予有创血压监测、抗感染、抗病毒、中医药醒脑开窍等治疗，多种治疗手段联合应用是抢救成功的关键。</w:t>
      </w:r>
    </w:p>
    <w:p w14:paraId="7525330B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第三，中西医结合护理，个性化施护。生命支持治疗离不开精细化专业化的护理，护士密切关注病情变化，加强呼吸支持、循环支持、体外管路管理、抗凝管理，精准中医辨证施护，给予中医适宜技术中药膏摩、手指点穴及穴位按摩，以达到整体综合调节和治疗的效果。本案例体现了现代化治疗护理和中医治疗护理的有效结合，中西医结合护理对于疾病的转归和康复起到了至关重要的作用，值得在临床上广泛推广。</w:t>
      </w:r>
    </w:p>
    <w:p w14:paraId="3AD9F75F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5</w:t>
      </w:r>
      <w:r>
        <w:rPr>
          <w:rFonts w:asciiTheme="minorEastAsia" w:hAnsiTheme="minorEastAsia" w:cstheme="minorEastAsia"/>
          <w:b/>
          <w:bCs/>
          <w:sz w:val="24"/>
        </w:rPr>
        <w:t>.附加材料</w:t>
      </w:r>
    </w:p>
    <w:p w14:paraId="524874D5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略</w:t>
      </w:r>
    </w:p>
    <w:p w14:paraId="74F3A40D">
      <w:pPr>
        <w:spacing w:before="156" w:beforeLines="50" w:line="360" w:lineRule="auto"/>
        <w:contextualSpacing/>
        <w:jc w:val="center"/>
        <w:rPr>
          <w:rFonts w:ascii="黑体" w:hAnsi="黑体" w:eastAsia="方正小标宋简体" w:cs="Arial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5E481EE-AAC7-4D1F-9638-302A5B8F58F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A0CB68-B5D1-4C5B-9B78-1C0738FA24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35686FC-8783-4FD8-B5A1-2E282734EEB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1922030-E05C-4768-9955-D29BBCCD46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172A27"/>
    <w:rsid w:val="00001613"/>
    <w:rsid w:val="00004FAF"/>
    <w:rsid w:val="00070FF6"/>
    <w:rsid w:val="0009798A"/>
    <w:rsid w:val="000A3391"/>
    <w:rsid w:val="000C237E"/>
    <w:rsid w:val="000F24C1"/>
    <w:rsid w:val="00102878"/>
    <w:rsid w:val="00105AF5"/>
    <w:rsid w:val="0011044E"/>
    <w:rsid w:val="0011397C"/>
    <w:rsid w:val="0012314D"/>
    <w:rsid w:val="001378AB"/>
    <w:rsid w:val="00141D5A"/>
    <w:rsid w:val="0016355B"/>
    <w:rsid w:val="00165E66"/>
    <w:rsid w:val="00172A27"/>
    <w:rsid w:val="00182072"/>
    <w:rsid w:val="001A01B7"/>
    <w:rsid w:val="001A6D60"/>
    <w:rsid w:val="001B4469"/>
    <w:rsid w:val="001C1221"/>
    <w:rsid w:val="001C133F"/>
    <w:rsid w:val="001E5132"/>
    <w:rsid w:val="001F17BC"/>
    <w:rsid w:val="00213C70"/>
    <w:rsid w:val="00215462"/>
    <w:rsid w:val="00216876"/>
    <w:rsid w:val="00253062"/>
    <w:rsid w:val="00253DDD"/>
    <w:rsid w:val="00272959"/>
    <w:rsid w:val="002B3FF7"/>
    <w:rsid w:val="00331B14"/>
    <w:rsid w:val="0037347E"/>
    <w:rsid w:val="003935EF"/>
    <w:rsid w:val="003A785A"/>
    <w:rsid w:val="003B190A"/>
    <w:rsid w:val="003B6D93"/>
    <w:rsid w:val="003D3EE2"/>
    <w:rsid w:val="004037B5"/>
    <w:rsid w:val="00435AB1"/>
    <w:rsid w:val="00452BA9"/>
    <w:rsid w:val="00491CA8"/>
    <w:rsid w:val="00494CB5"/>
    <w:rsid w:val="004A5173"/>
    <w:rsid w:val="004A6C97"/>
    <w:rsid w:val="004F5E02"/>
    <w:rsid w:val="00502C9D"/>
    <w:rsid w:val="005177BE"/>
    <w:rsid w:val="00524F6A"/>
    <w:rsid w:val="00525B18"/>
    <w:rsid w:val="00527AE2"/>
    <w:rsid w:val="005302F1"/>
    <w:rsid w:val="0054193C"/>
    <w:rsid w:val="005429AF"/>
    <w:rsid w:val="00542A48"/>
    <w:rsid w:val="00547C8A"/>
    <w:rsid w:val="00550DCC"/>
    <w:rsid w:val="00560C37"/>
    <w:rsid w:val="00590CA9"/>
    <w:rsid w:val="00592B54"/>
    <w:rsid w:val="005C1C78"/>
    <w:rsid w:val="005D4D2E"/>
    <w:rsid w:val="005E0562"/>
    <w:rsid w:val="005F0E74"/>
    <w:rsid w:val="005F564D"/>
    <w:rsid w:val="0062676E"/>
    <w:rsid w:val="006307E6"/>
    <w:rsid w:val="00635047"/>
    <w:rsid w:val="006376CF"/>
    <w:rsid w:val="006479BE"/>
    <w:rsid w:val="00652646"/>
    <w:rsid w:val="00677A4D"/>
    <w:rsid w:val="00685948"/>
    <w:rsid w:val="006B1F25"/>
    <w:rsid w:val="00746B61"/>
    <w:rsid w:val="007759D2"/>
    <w:rsid w:val="007D6670"/>
    <w:rsid w:val="008235EB"/>
    <w:rsid w:val="00865466"/>
    <w:rsid w:val="00884808"/>
    <w:rsid w:val="0088591B"/>
    <w:rsid w:val="0089308E"/>
    <w:rsid w:val="008C22B7"/>
    <w:rsid w:val="008C24B7"/>
    <w:rsid w:val="00904C4C"/>
    <w:rsid w:val="00945664"/>
    <w:rsid w:val="00957CE6"/>
    <w:rsid w:val="0096476B"/>
    <w:rsid w:val="009717D7"/>
    <w:rsid w:val="0099019A"/>
    <w:rsid w:val="009912C1"/>
    <w:rsid w:val="009C39ED"/>
    <w:rsid w:val="009C7C40"/>
    <w:rsid w:val="009D1020"/>
    <w:rsid w:val="009E5947"/>
    <w:rsid w:val="009F0AC9"/>
    <w:rsid w:val="009F1A9A"/>
    <w:rsid w:val="009F22F8"/>
    <w:rsid w:val="00A2532A"/>
    <w:rsid w:val="00A310E8"/>
    <w:rsid w:val="00A473AB"/>
    <w:rsid w:val="00A53348"/>
    <w:rsid w:val="00A6749B"/>
    <w:rsid w:val="00A722F8"/>
    <w:rsid w:val="00A879F2"/>
    <w:rsid w:val="00AA020F"/>
    <w:rsid w:val="00AA269F"/>
    <w:rsid w:val="00AA4113"/>
    <w:rsid w:val="00AB3EBE"/>
    <w:rsid w:val="00AC5748"/>
    <w:rsid w:val="00AD1A48"/>
    <w:rsid w:val="00AF24A2"/>
    <w:rsid w:val="00AF596A"/>
    <w:rsid w:val="00AF72F9"/>
    <w:rsid w:val="00B17184"/>
    <w:rsid w:val="00B35BC7"/>
    <w:rsid w:val="00B45064"/>
    <w:rsid w:val="00B54F14"/>
    <w:rsid w:val="00B7217D"/>
    <w:rsid w:val="00BA618A"/>
    <w:rsid w:val="00BB3FD4"/>
    <w:rsid w:val="00BD26B5"/>
    <w:rsid w:val="00BE1582"/>
    <w:rsid w:val="00BE30B8"/>
    <w:rsid w:val="00C00F24"/>
    <w:rsid w:val="00C1022B"/>
    <w:rsid w:val="00C107B5"/>
    <w:rsid w:val="00C5389C"/>
    <w:rsid w:val="00C54253"/>
    <w:rsid w:val="00C639EA"/>
    <w:rsid w:val="00C67540"/>
    <w:rsid w:val="00C67E16"/>
    <w:rsid w:val="00C71F3F"/>
    <w:rsid w:val="00C81BD6"/>
    <w:rsid w:val="00CA14CB"/>
    <w:rsid w:val="00CA5352"/>
    <w:rsid w:val="00CB7F0B"/>
    <w:rsid w:val="00CE03E8"/>
    <w:rsid w:val="00D0293A"/>
    <w:rsid w:val="00D21861"/>
    <w:rsid w:val="00D33E17"/>
    <w:rsid w:val="00D432EC"/>
    <w:rsid w:val="00D547F6"/>
    <w:rsid w:val="00D677A5"/>
    <w:rsid w:val="00D81BE1"/>
    <w:rsid w:val="00D82BFC"/>
    <w:rsid w:val="00D90F47"/>
    <w:rsid w:val="00DB5764"/>
    <w:rsid w:val="00E05D94"/>
    <w:rsid w:val="00E2085E"/>
    <w:rsid w:val="00E212A4"/>
    <w:rsid w:val="00E34C7D"/>
    <w:rsid w:val="00E45F7D"/>
    <w:rsid w:val="00E608DF"/>
    <w:rsid w:val="00E644EA"/>
    <w:rsid w:val="00E72779"/>
    <w:rsid w:val="00E86A9F"/>
    <w:rsid w:val="00E95E9E"/>
    <w:rsid w:val="00EA6304"/>
    <w:rsid w:val="00EC1AF8"/>
    <w:rsid w:val="00EC6513"/>
    <w:rsid w:val="00ED3FD5"/>
    <w:rsid w:val="00ED556B"/>
    <w:rsid w:val="00F0318D"/>
    <w:rsid w:val="00F12B6B"/>
    <w:rsid w:val="00F14E93"/>
    <w:rsid w:val="00F1532C"/>
    <w:rsid w:val="00F47151"/>
    <w:rsid w:val="00F53378"/>
    <w:rsid w:val="00F552F1"/>
    <w:rsid w:val="00F56404"/>
    <w:rsid w:val="00FA7C76"/>
    <w:rsid w:val="00FD3E78"/>
    <w:rsid w:val="00FE3B9A"/>
    <w:rsid w:val="01706D18"/>
    <w:rsid w:val="019035AD"/>
    <w:rsid w:val="01B22CCC"/>
    <w:rsid w:val="01B544D6"/>
    <w:rsid w:val="01FC3303"/>
    <w:rsid w:val="01FE02E4"/>
    <w:rsid w:val="021A30BC"/>
    <w:rsid w:val="02874F08"/>
    <w:rsid w:val="02B60EEA"/>
    <w:rsid w:val="02DF66D5"/>
    <w:rsid w:val="035B5A0A"/>
    <w:rsid w:val="036A7C06"/>
    <w:rsid w:val="044606D4"/>
    <w:rsid w:val="04CF3292"/>
    <w:rsid w:val="04D6785C"/>
    <w:rsid w:val="057430A8"/>
    <w:rsid w:val="057A6E44"/>
    <w:rsid w:val="05F8628A"/>
    <w:rsid w:val="060E798A"/>
    <w:rsid w:val="06515AD7"/>
    <w:rsid w:val="06982F8E"/>
    <w:rsid w:val="070B09A0"/>
    <w:rsid w:val="082408AD"/>
    <w:rsid w:val="086B1580"/>
    <w:rsid w:val="089317F5"/>
    <w:rsid w:val="08AD757C"/>
    <w:rsid w:val="08E46CD7"/>
    <w:rsid w:val="0918327D"/>
    <w:rsid w:val="09274CBC"/>
    <w:rsid w:val="09354FE9"/>
    <w:rsid w:val="09371189"/>
    <w:rsid w:val="09D27585"/>
    <w:rsid w:val="0A4E1F87"/>
    <w:rsid w:val="0A526B9E"/>
    <w:rsid w:val="0BFB0E95"/>
    <w:rsid w:val="0C1E59B3"/>
    <w:rsid w:val="0D154D0B"/>
    <w:rsid w:val="0E1529C0"/>
    <w:rsid w:val="0E6B4505"/>
    <w:rsid w:val="0F35160F"/>
    <w:rsid w:val="0F6E4136"/>
    <w:rsid w:val="10B44515"/>
    <w:rsid w:val="10EA5510"/>
    <w:rsid w:val="116250A6"/>
    <w:rsid w:val="11BE1FC2"/>
    <w:rsid w:val="11D40A05"/>
    <w:rsid w:val="12623C79"/>
    <w:rsid w:val="12FF3359"/>
    <w:rsid w:val="135A75FD"/>
    <w:rsid w:val="13895C82"/>
    <w:rsid w:val="139744E1"/>
    <w:rsid w:val="1409433C"/>
    <w:rsid w:val="14E231D5"/>
    <w:rsid w:val="163D05B1"/>
    <w:rsid w:val="170E6BE3"/>
    <w:rsid w:val="17103D25"/>
    <w:rsid w:val="174963A8"/>
    <w:rsid w:val="179A024C"/>
    <w:rsid w:val="18C70C1D"/>
    <w:rsid w:val="196F5F43"/>
    <w:rsid w:val="19903193"/>
    <w:rsid w:val="19B32ED1"/>
    <w:rsid w:val="1A452545"/>
    <w:rsid w:val="1A4B1C3D"/>
    <w:rsid w:val="1A62674E"/>
    <w:rsid w:val="1A871DAE"/>
    <w:rsid w:val="1AFD478F"/>
    <w:rsid w:val="1B6659EA"/>
    <w:rsid w:val="1BD11C1A"/>
    <w:rsid w:val="1BD85D04"/>
    <w:rsid w:val="1C0240DC"/>
    <w:rsid w:val="1D154A83"/>
    <w:rsid w:val="1DF30A07"/>
    <w:rsid w:val="1E410B1D"/>
    <w:rsid w:val="1E780D42"/>
    <w:rsid w:val="1EC512EE"/>
    <w:rsid w:val="1ECA637A"/>
    <w:rsid w:val="1ECD4CB6"/>
    <w:rsid w:val="1EDD4E34"/>
    <w:rsid w:val="1F2B440E"/>
    <w:rsid w:val="1F374545"/>
    <w:rsid w:val="2036356A"/>
    <w:rsid w:val="20E94502"/>
    <w:rsid w:val="218A4404"/>
    <w:rsid w:val="21A90C26"/>
    <w:rsid w:val="21ED35E0"/>
    <w:rsid w:val="224340BE"/>
    <w:rsid w:val="22501C38"/>
    <w:rsid w:val="225D570B"/>
    <w:rsid w:val="22ED6826"/>
    <w:rsid w:val="233438CE"/>
    <w:rsid w:val="23753007"/>
    <w:rsid w:val="24294678"/>
    <w:rsid w:val="243D76F2"/>
    <w:rsid w:val="245C422D"/>
    <w:rsid w:val="24F47AA5"/>
    <w:rsid w:val="252E63EA"/>
    <w:rsid w:val="254409CC"/>
    <w:rsid w:val="2582739C"/>
    <w:rsid w:val="258379D1"/>
    <w:rsid w:val="25840038"/>
    <w:rsid w:val="2597597D"/>
    <w:rsid w:val="262D2C5E"/>
    <w:rsid w:val="26494983"/>
    <w:rsid w:val="268646B2"/>
    <w:rsid w:val="269936B3"/>
    <w:rsid w:val="26C248DC"/>
    <w:rsid w:val="26ED1ECE"/>
    <w:rsid w:val="26F30130"/>
    <w:rsid w:val="2741433C"/>
    <w:rsid w:val="275B1491"/>
    <w:rsid w:val="275C511B"/>
    <w:rsid w:val="275E698F"/>
    <w:rsid w:val="278043E3"/>
    <w:rsid w:val="27F8470B"/>
    <w:rsid w:val="2862346D"/>
    <w:rsid w:val="28DB6959"/>
    <w:rsid w:val="291C451E"/>
    <w:rsid w:val="29716BB5"/>
    <w:rsid w:val="29843ABF"/>
    <w:rsid w:val="299B0671"/>
    <w:rsid w:val="2A441194"/>
    <w:rsid w:val="2A460ED0"/>
    <w:rsid w:val="2A4C5D16"/>
    <w:rsid w:val="2A5700DD"/>
    <w:rsid w:val="2A8B7D8F"/>
    <w:rsid w:val="2AA25FDC"/>
    <w:rsid w:val="2B3D28CF"/>
    <w:rsid w:val="2B5C155A"/>
    <w:rsid w:val="2BA50A88"/>
    <w:rsid w:val="2BE675F9"/>
    <w:rsid w:val="2BF765B9"/>
    <w:rsid w:val="2C6C77BC"/>
    <w:rsid w:val="2C706B52"/>
    <w:rsid w:val="2C7824D0"/>
    <w:rsid w:val="2C9E4B01"/>
    <w:rsid w:val="2D08551C"/>
    <w:rsid w:val="2D412C45"/>
    <w:rsid w:val="2D43398B"/>
    <w:rsid w:val="2DF8096B"/>
    <w:rsid w:val="2F8D140F"/>
    <w:rsid w:val="2FAE4D07"/>
    <w:rsid w:val="30026B49"/>
    <w:rsid w:val="30985DB2"/>
    <w:rsid w:val="30BC2604"/>
    <w:rsid w:val="30CA6598"/>
    <w:rsid w:val="31B5579D"/>
    <w:rsid w:val="31EB2C4B"/>
    <w:rsid w:val="32936F65"/>
    <w:rsid w:val="32A34380"/>
    <w:rsid w:val="32A65113"/>
    <w:rsid w:val="32C310A9"/>
    <w:rsid w:val="3310509D"/>
    <w:rsid w:val="33281146"/>
    <w:rsid w:val="337A7B2B"/>
    <w:rsid w:val="34653540"/>
    <w:rsid w:val="34AC3441"/>
    <w:rsid w:val="34E114AB"/>
    <w:rsid w:val="35256695"/>
    <w:rsid w:val="357922C6"/>
    <w:rsid w:val="35904473"/>
    <w:rsid w:val="363C49D4"/>
    <w:rsid w:val="371020DF"/>
    <w:rsid w:val="37567682"/>
    <w:rsid w:val="3763076F"/>
    <w:rsid w:val="3766236B"/>
    <w:rsid w:val="37F96727"/>
    <w:rsid w:val="38341B11"/>
    <w:rsid w:val="384145B7"/>
    <w:rsid w:val="38644E87"/>
    <w:rsid w:val="39646410"/>
    <w:rsid w:val="397749DD"/>
    <w:rsid w:val="3A1155D6"/>
    <w:rsid w:val="3A174CDE"/>
    <w:rsid w:val="3B2D16BC"/>
    <w:rsid w:val="3B7C1569"/>
    <w:rsid w:val="3BB27D22"/>
    <w:rsid w:val="3BD81D34"/>
    <w:rsid w:val="3C410FDA"/>
    <w:rsid w:val="3C455801"/>
    <w:rsid w:val="3C510B90"/>
    <w:rsid w:val="3C613AD6"/>
    <w:rsid w:val="3C6A0E70"/>
    <w:rsid w:val="3C796FF2"/>
    <w:rsid w:val="3CDD1374"/>
    <w:rsid w:val="3CF24727"/>
    <w:rsid w:val="3DA55B59"/>
    <w:rsid w:val="3E0534CC"/>
    <w:rsid w:val="3EAF17AB"/>
    <w:rsid w:val="3EE40F22"/>
    <w:rsid w:val="3F26315B"/>
    <w:rsid w:val="3FEA4B6B"/>
    <w:rsid w:val="400630AD"/>
    <w:rsid w:val="402770FA"/>
    <w:rsid w:val="4067547A"/>
    <w:rsid w:val="41BC44A4"/>
    <w:rsid w:val="423039FB"/>
    <w:rsid w:val="424E02B6"/>
    <w:rsid w:val="429A1EFB"/>
    <w:rsid w:val="432653D7"/>
    <w:rsid w:val="43AB19E1"/>
    <w:rsid w:val="43C41B69"/>
    <w:rsid w:val="43D46F74"/>
    <w:rsid w:val="444A79E6"/>
    <w:rsid w:val="447D3CCE"/>
    <w:rsid w:val="449D46C1"/>
    <w:rsid w:val="44C23C4C"/>
    <w:rsid w:val="450B0799"/>
    <w:rsid w:val="45C80FB7"/>
    <w:rsid w:val="46421C6E"/>
    <w:rsid w:val="46983462"/>
    <w:rsid w:val="472C1C83"/>
    <w:rsid w:val="475A2C17"/>
    <w:rsid w:val="47CC4FC5"/>
    <w:rsid w:val="47F4613F"/>
    <w:rsid w:val="48104BF7"/>
    <w:rsid w:val="481930B7"/>
    <w:rsid w:val="484F017A"/>
    <w:rsid w:val="48837304"/>
    <w:rsid w:val="48C63073"/>
    <w:rsid w:val="49C80863"/>
    <w:rsid w:val="4A224382"/>
    <w:rsid w:val="4A257C74"/>
    <w:rsid w:val="4A945871"/>
    <w:rsid w:val="4C765AEC"/>
    <w:rsid w:val="4CB40DA0"/>
    <w:rsid w:val="4CBB3930"/>
    <w:rsid w:val="4D1C45DA"/>
    <w:rsid w:val="4D802BF3"/>
    <w:rsid w:val="4E0E3D3E"/>
    <w:rsid w:val="4E32406E"/>
    <w:rsid w:val="4E3A5FF1"/>
    <w:rsid w:val="4E8B63CE"/>
    <w:rsid w:val="4F2A25ED"/>
    <w:rsid w:val="4F3B0588"/>
    <w:rsid w:val="4F3B438F"/>
    <w:rsid w:val="4F882755"/>
    <w:rsid w:val="4FD0390B"/>
    <w:rsid w:val="4FDF0CC4"/>
    <w:rsid w:val="502F08B0"/>
    <w:rsid w:val="50446212"/>
    <w:rsid w:val="507018B9"/>
    <w:rsid w:val="50F40E22"/>
    <w:rsid w:val="513A15A4"/>
    <w:rsid w:val="515E0096"/>
    <w:rsid w:val="51D4322F"/>
    <w:rsid w:val="52A46AB9"/>
    <w:rsid w:val="52BB2D69"/>
    <w:rsid w:val="53616A49"/>
    <w:rsid w:val="541B58AA"/>
    <w:rsid w:val="542F5BE6"/>
    <w:rsid w:val="543F679C"/>
    <w:rsid w:val="54FE0E09"/>
    <w:rsid w:val="55096F31"/>
    <w:rsid w:val="555156DD"/>
    <w:rsid w:val="55CE593F"/>
    <w:rsid w:val="55DC2DB4"/>
    <w:rsid w:val="55E44582"/>
    <w:rsid w:val="55F46F62"/>
    <w:rsid w:val="5621026B"/>
    <w:rsid w:val="56566F3F"/>
    <w:rsid w:val="56951CC9"/>
    <w:rsid w:val="56C77FD2"/>
    <w:rsid w:val="57066BC8"/>
    <w:rsid w:val="57D165DD"/>
    <w:rsid w:val="58735591"/>
    <w:rsid w:val="58765561"/>
    <w:rsid w:val="58EB1921"/>
    <w:rsid w:val="58F90E22"/>
    <w:rsid w:val="59271787"/>
    <w:rsid w:val="593C749D"/>
    <w:rsid w:val="5954026A"/>
    <w:rsid w:val="5A590BFD"/>
    <w:rsid w:val="5B0846B0"/>
    <w:rsid w:val="5B16393D"/>
    <w:rsid w:val="5B1D171A"/>
    <w:rsid w:val="5B413077"/>
    <w:rsid w:val="5B9B04C5"/>
    <w:rsid w:val="5BAF7DDE"/>
    <w:rsid w:val="5BBE4523"/>
    <w:rsid w:val="5BFA0A12"/>
    <w:rsid w:val="5C66681F"/>
    <w:rsid w:val="5C6C2E07"/>
    <w:rsid w:val="5CFC5BB9"/>
    <w:rsid w:val="5D8B722E"/>
    <w:rsid w:val="5DB737ED"/>
    <w:rsid w:val="5E802B0B"/>
    <w:rsid w:val="5E8B590B"/>
    <w:rsid w:val="5ED33A11"/>
    <w:rsid w:val="5F83243D"/>
    <w:rsid w:val="5FAC5592"/>
    <w:rsid w:val="5FFF58EB"/>
    <w:rsid w:val="6013531C"/>
    <w:rsid w:val="607223D2"/>
    <w:rsid w:val="60A76C64"/>
    <w:rsid w:val="60C75D57"/>
    <w:rsid w:val="61472BE1"/>
    <w:rsid w:val="6177672A"/>
    <w:rsid w:val="61C20170"/>
    <w:rsid w:val="61FB5143"/>
    <w:rsid w:val="6235761E"/>
    <w:rsid w:val="62491FDB"/>
    <w:rsid w:val="625C6AFA"/>
    <w:rsid w:val="628309E9"/>
    <w:rsid w:val="628D2545"/>
    <w:rsid w:val="6309613E"/>
    <w:rsid w:val="63CB79FF"/>
    <w:rsid w:val="64236413"/>
    <w:rsid w:val="64260727"/>
    <w:rsid w:val="64655C0C"/>
    <w:rsid w:val="648B1BA6"/>
    <w:rsid w:val="64F114AF"/>
    <w:rsid w:val="65335CCC"/>
    <w:rsid w:val="653A68E5"/>
    <w:rsid w:val="65B5185E"/>
    <w:rsid w:val="65BF05DB"/>
    <w:rsid w:val="65E41493"/>
    <w:rsid w:val="661A0C88"/>
    <w:rsid w:val="6624534B"/>
    <w:rsid w:val="6650370B"/>
    <w:rsid w:val="66FB4E8D"/>
    <w:rsid w:val="67133F14"/>
    <w:rsid w:val="67307F59"/>
    <w:rsid w:val="67A309B2"/>
    <w:rsid w:val="67E20E57"/>
    <w:rsid w:val="67FA4AB9"/>
    <w:rsid w:val="686E69AA"/>
    <w:rsid w:val="68AC2484"/>
    <w:rsid w:val="68E62BC1"/>
    <w:rsid w:val="69683FC4"/>
    <w:rsid w:val="6A0D03BF"/>
    <w:rsid w:val="6AD63B5B"/>
    <w:rsid w:val="6B0F5EA0"/>
    <w:rsid w:val="6B3B510A"/>
    <w:rsid w:val="6B7710E0"/>
    <w:rsid w:val="6C053D58"/>
    <w:rsid w:val="6C31046F"/>
    <w:rsid w:val="6C3F06C7"/>
    <w:rsid w:val="6C770FC6"/>
    <w:rsid w:val="6C975315"/>
    <w:rsid w:val="6CBE782C"/>
    <w:rsid w:val="6CBF0CA2"/>
    <w:rsid w:val="6CCA14B3"/>
    <w:rsid w:val="6D875244"/>
    <w:rsid w:val="6D950CE2"/>
    <w:rsid w:val="6DFE028F"/>
    <w:rsid w:val="6E3F32E5"/>
    <w:rsid w:val="6E8C5C22"/>
    <w:rsid w:val="6EEA447D"/>
    <w:rsid w:val="6F265E89"/>
    <w:rsid w:val="6F391AB2"/>
    <w:rsid w:val="6F4B3923"/>
    <w:rsid w:val="6F540863"/>
    <w:rsid w:val="6F544310"/>
    <w:rsid w:val="6F817F60"/>
    <w:rsid w:val="70360CA1"/>
    <w:rsid w:val="705A1882"/>
    <w:rsid w:val="709B2908"/>
    <w:rsid w:val="710336B1"/>
    <w:rsid w:val="7148186C"/>
    <w:rsid w:val="71946A81"/>
    <w:rsid w:val="71A0066E"/>
    <w:rsid w:val="71F66B6F"/>
    <w:rsid w:val="720E496E"/>
    <w:rsid w:val="721101F2"/>
    <w:rsid w:val="72182606"/>
    <w:rsid w:val="729C1261"/>
    <w:rsid w:val="73E86D3D"/>
    <w:rsid w:val="74250C78"/>
    <w:rsid w:val="7446667B"/>
    <w:rsid w:val="749275BA"/>
    <w:rsid w:val="749F016D"/>
    <w:rsid w:val="74A333EB"/>
    <w:rsid w:val="74F0628F"/>
    <w:rsid w:val="759E179B"/>
    <w:rsid w:val="75EC2776"/>
    <w:rsid w:val="760E399E"/>
    <w:rsid w:val="76386704"/>
    <w:rsid w:val="763C11F7"/>
    <w:rsid w:val="764B79C3"/>
    <w:rsid w:val="76B7681A"/>
    <w:rsid w:val="773850A9"/>
    <w:rsid w:val="77C23803"/>
    <w:rsid w:val="784C774C"/>
    <w:rsid w:val="787C544D"/>
    <w:rsid w:val="78B54924"/>
    <w:rsid w:val="78C51F9F"/>
    <w:rsid w:val="78F4078B"/>
    <w:rsid w:val="79D42C06"/>
    <w:rsid w:val="7A246BA6"/>
    <w:rsid w:val="7AF24900"/>
    <w:rsid w:val="7B7B73FA"/>
    <w:rsid w:val="7C616994"/>
    <w:rsid w:val="7C8A0142"/>
    <w:rsid w:val="7CB95D2B"/>
    <w:rsid w:val="7CCB71F0"/>
    <w:rsid w:val="7CFE77F4"/>
    <w:rsid w:val="7D0F24E3"/>
    <w:rsid w:val="7D2E6D36"/>
    <w:rsid w:val="7D627BB2"/>
    <w:rsid w:val="7DC863B2"/>
    <w:rsid w:val="7DCD09CB"/>
    <w:rsid w:val="7E9668BE"/>
    <w:rsid w:val="7EB96B57"/>
    <w:rsid w:val="7EFF71AF"/>
    <w:rsid w:val="7F6734B5"/>
    <w:rsid w:val="7F836E37"/>
    <w:rsid w:val="7FD12D6F"/>
    <w:rsid w:val="7FDA5D2C"/>
    <w:rsid w:val="7FF6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1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qFormat/>
    <w:uiPriority w:val="0"/>
    <w:rPr>
      <w:sz w:val="18"/>
      <w:szCs w:val="18"/>
    </w:r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黑体" w:hAnsi="黑体" w:eastAsia="黑体" w:cs="Times New Roman"/>
      <w:color w:val="000000"/>
      <w:sz w:val="24"/>
      <w:lang w:val="en-US" w:eastAsia="zh-CN" w:bidi="ar-SA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框文本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microsoft.com/office/2007/relationships/diagramDrawing" Target="diagrams/drawing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0994085-72B2-40D5-9836-BD584A76BA73}" type="doc">
      <dgm:prSet loTypeId="urn:microsoft.com/office/officeart/2005/8/layout/hProcess6" loCatId="process" qsTypeId="urn:microsoft.com/office/officeart/2005/8/quickstyle/simple1#1" qsCatId="simple" csTypeId="urn:microsoft.com/office/officeart/2005/8/colors/accent1_2#1" csCatId="accent1" phldr="1"/>
      <dgm:spPr/>
      <dgm:t>
        <a:bodyPr/>
        <a:p>
          <a:endParaRPr lang="zh-CN" altLang="en-US"/>
        </a:p>
      </dgm:t>
    </dgm:pt>
    <dgm:pt modelId="{EB85FE76-A7B2-4671-86CA-CCC0C01015F2}">
      <dgm:prSet phldrT="[文本]" custT="1"/>
      <dgm:spPr/>
      <dgm:t>
        <a:bodyPr/>
        <a:p>
          <a:pPr algn="ctr"/>
          <a:r>
            <a:rPr lang="en-US" altLang="zh-CN" sz="1100"/>
            <a:t>11</a:t>
          </a:r>
          <a:r>
            <a:rPr lang="zh-CN" altLang="en-US" sz="1100"/>
            <a:t>月</a:t>
          </a:r>
          <a:r>
            <a:rPr lang="en-US" altLang="zh-CN" sz="1100"/>
            <a:t>28</a:t>
          </a:r>
          <a:r>
            <a:rPr lang="zh-CN" altLang="en-US" sz="1100"/>
            <a:t>日</a:t>
          </a:r>
        </a:p>
      </dgm:t>
    </dgm:pt>
    <dgm:pt modelId="{7587E715-DEB5-4142-8BF2-89923BF7270F}" cxnId="{DFCB0880-5BC2-4AE4-9FB8-4FE9F0D055EE}" type="parTrans">
      <dgm:prSet/>
      <dgm:spPr/>
      <dgm:t>
        <a:bodyPr/>
        <a:p>
          <a:pPr algn="ctr"/>
          <a:endParaRPr lang="zh-CN" altLang="en-US"/>
        </a:p>
      </dgm:t>
    </dgm:pt>
    <dgm:pt modelId="{FE505554-563E-4840-9877-4E158955820A}" cxnId="{DFCB0880-5BC2-4AE4-9FB8-4FE9F0D055EE}" type="sibTrans">
      <dgm:prSet/>
      <dgm:spPr/>
      <dgm:t>
        <a:bodyPr/>
        <a:p>
          <a:pPr algn="ctr"/>
          <a:endParaRPr lang="zh-CN" altLang="en-US"/>
        </a:p>
      </dgm:t>
    </dgm:pt>
    <dgm:pt modelId="{DC59383C-2C93-4876-8FD3-DAD5BAAD1BC3}">
      <dgm:prSet phldrT="[文本]" custT="1"/>
      <dgm:spPr/>
      <dgm:t>
        <a:bodyPr/>
        <a:p>
          <a:pPr algn="ctr"/>
          <a:r>
            <a:rPr lang="en-US" altLang="zh-CN" sz="800"/>
            <a:t>18:11</a:t>
          </a:r>
          <a:r>
            <a:rPr lang="zh-CN" sz="800"/>
            <a:t>急诊科行心肺复苏术</a:t>
          </a:r>
          <a:endParaRPr lang="zh-CN" altLang="en-US" sz="800"/>
        </a:p>
      </dgm:t>
    </dgm:pt>
    <dgm:pt modelId="{24180C51-CB67-44D6-AEF9-523CDA28F51F}" cxnId="{8856768A-4BCE-4766-8141-B68E480CED83}" type="parTrans">
      <dgm:prSet/>
      <dgm:spPr/>
      <dgm:t>
        <a:bodyPr/>
        <a:p>
          <a:pPr algn="ctr"/>
          <a:endParaRPr lang="zh-CN" altLang="en-US"/>
        </a:p>
      </dgm:t>
    </dgm:pt>
    <dgm:pt modelId="{B36C00D2-6362-4BB9-895B-B0975E2243D5}" cxnId="{8856768A-4BCE-4766-8141-B68E480CED83}" type="sibTrans">
      <dgm:prSet/>
      <dgm:spPr/>
      <dgm:t>
        <a:bodyPr/>
        <a:p>
          <a:pPr algn="ctr"/>
          <a:endParaRPr lang="zh-CN" altLang="en-US"/>
        </a:p>
      </dgm:t>
    </dgm:pt>
    <dgm:pt modelId="{CDB5E186-0147-4DC7-85A9-8CF9CF05F746}">
      <dgm:prSet phldrT="[文本]" custT="1"/>
      <dgm:spPr/>
      <dgm:t>
        <a:bodyPr/>
        <a:p>
          <a:pPr algn="ctr"/>
          <a:r>
            <a:rPr lang="en-US" altLang="zh-CN" sz="1100"/>
            <a:t>11</a:t>
          </a:r>
          <a:r>
            <a:rPr lang="zh-CN" altLang="en-US" sz="1100"/>
            <a:t>月</a:t>
          </a:r>
          <a:r>
            <a:rPr lang="en-US" altLang="zh-CN" sz="1100"/>
            <a:t>29</a:t>
          </a:r>
          <a:r>
            <a:rPr lang="zh-CN" altLang="en-US" sz="1100"/>
            <a:t>日</a:t>
          </a:r>
        </a:p>
      </dgm:t>
    </dgm:pt>
    <dgm:pt modelId="{F000663C-3613-4E98-B610-1C618DB6616D}" cxnId="{C06B801E-5B2D-4D1B-9EAB-4625C3BEBDDF}" type="parTrans">
      <dgm:prSet/>
      <dgm:spPr/>
      <dgm:t>
        <a:bodyPr/>
        <a:p>
          <a:pPr algn="ctr"/>
          <a:endParaRPr lang="zh-CN" altLang="en-US"/>
        </a:p>
      </dgm:t>
    </dgm:pt>
    <dgm:pt modelId="{8496D370-3FA6-42A3-A5C7-9078A1FB6385}" cxnId="{C06B801E-5B2D-4D1B-9EAB-4625C3BEBDDF}" type="sibTrans">
      <dgm:prSet/>
      <dgm:spPr/>
      <dgm:t>
        <a:bodyPr/>
        <a:p>
          <a:pPr algn="ctr"/>
          <a:endParaRPr lang="zh-CN" altLang="en-US"/>
        </a:p>
      </dgm:t>
    </dgm:pt>
    <dgm:pt modelId="{115140AB-5DEA-4801-8180-C96F269B2D35}">
      <dgm:prSet phldrT="[文本]" custT="1"/>
      <dgm:spPr/>
      <dgm:t>
        <a:bodyPr/>
        <a:p>
          <a:pPr algn="ctr"/>
          <a:r>
            <a:rPr lang="en-US" sz="800"/>
            <a:t>10:00</a:t>
          </a:r>
          <a:r>
            <a:rPr lang="zh-CN" sz="800"/>
            <a:t>行</a:t>
          </a:r>
          <a:r>
            <a:rPr lang="en-US" sz="800"/>
            <a:t>ECMO</a:t>
          </a:r>
          <a:r>
            <a:rPr lang="zh-CN" sz="800"/>
            <a:t>安装术</a:t>
          </a:r>
          <a:endParaRPr lang="zh-CN" altLang="en-US" sz="800"/>
        </a:p>
      </dgm:t>
    </dgm:pt>
    <dgm:pt modelId="{CD692AA7-620E-479D-9E1A-C3171F1AF217}" cxnId="{6869F96C-BA90-4863-9CAB-C29BC31B0335}" type="parTrans">
      <dgm:prSet/>
      <dgm:spPr/>
      <dgm:t>
        <a:bodyPr/>
        <a:p>
          <a:pPr algn="ctr"/>
          <a:endParaRPr lang="zh-CN" altLang="en-US"/>
        </a:p>
      </dgm:t>
    </dgm:pt>
    <dgm:pt modelId="{A3AA494D-1A99-43C5-914F-DA3E34212B32}" cxnId="{6869F96C-BA90-4863-9CAB-C29BC31B0335}" type="sibTrans">
      <dgm:prSet/>
      <dgm:spPr/>
      <dgm:t>
        <a:bodyPr/>
        <a:p>
          <a:pPr algn="ctr"/>
          <a:endParaRPr lang="zh-CN" altLang="en-US"/>
        </a:p>
      </dgm:t>
    </dgm:pt>
    <dgm:pt modelId="{46AECC51-1266-4AEB-8A32-3DCEF8FD5FD3}">
      <dgm:prSet phldrT="[文本]" custT="1"/>
      <dgm:spPr/>
      <dgm:t>
        <a:bodyPr/>
        <a:p>
          <a:pPr algn="ctr"/>
          <a:r>
            <a:rPr lang="en-US" altLang="zh-CN" sz="1100"/>
            <a:t>12</a:t>
          </a:r>
          <a:r>
            <a:rPr lang="zh-CN" altLang="en-US" sz="1100"/>
            <a:t>月</a:t>
          </a:r>
          <a:r>
            <a:rPr lang="en-US" altLang="zh-CN" sz="1100"/>
            <a:t>02</a:t>
          </a:r>
          <a:r>
            <a:rPr lang="zh-CN" altLang="en-US" sz="1100"/>
            <a:t>日</a:t>
          </a:r>
        </a:p>
      </dgm:t>
    </dgm:pt>
    <dgm:pt modelId="{83F921BE-1A55-40F9-B273-BACEF1AEECC3}" cxnId="{118CC746-2FBA-4359-BB79-8825BB3E5658}" type="parTrans">
      <dgm:prSet/>
      <dgm:spPr/>
      <dgm:t>
        <a:bodyPr/>
        <a:p>
          <a:pPr algn="ctr"/>
          <a:endParaRPr lang="zh-CN" altLang="en-US"/>
        </a:p>
      </dgm:t>
    </dgm:pt>
    <dgm:pt modelId="{59328E4B-C5CE-4C76-9842-18EC8E727AA8}" cxnId="{118CC746-2FBA-4359-BB79-8825BB3E5658}" type="sibTrans">
      <dgm:prSet/>
      <dgm:spPr/>
      <dgm:t>
        <a:bodyPr/>
        <a:p>
          <a:pPr algn="ctr"/>
          <a:endParaRPr lang="zh-CN" altLang="en-US"/>
        </a:p>
      </dgm:t>
    </dgm:pt>
    <dgm:pt modelId="{91EB6517-9F68-447F-8E2A-4F7D73E0076D}">
      <dgm:prSet phldrT="[文本]" custT="1"/>
      <dgm:spPr/>
      <dgm:t>
        <a:bodyPr/>
        <a:p>
          <a:pPr algn="ctr"/>
          <a:r>
            <a:rPr lang="zh-CN" altLang="en-US" sz="800"/>
            <a:t>给予输血治疗</a:t>
          </a:r>
        </a:p>
      </dgm:t>
    </dgm:pt>
    <dgm:pt modelId="{CFD70E4C-0ECD-4852-BE4E-E2DEF2152677}" cxnId="{1EF6A738-91C9-4FB6-8539-21DEE6B8DD09}" type="parTrans">
      <dgm:prSet/>
      <dgm:spPr/>
      <dgm:t>
        <a:bodyPr/>
        <a:p>
          <a:pPr algn="ctr"/>
          <a:endParaRPr lang="zh-CN" altLang="en-US"/>
        </a:p>
      </dgm:t>
    </dgm:pt>
    <dgm:pt modelId="{0CEED2EA-54E3-4264-B804-9DF571AD27CB}" cxnId="{1EF6A738-91C9-4FB6-8539-21DEE6B8DD09}" type="sibTrans">
      <dgm:prSet/>
      <dgm:spPr/>
      <dgm:t>
        <a:bodyPr/>
        <a:p>
          <a:pPr algn="ctr"/>
          <a:endParaRPr lang="zh-CN" altLang="en-US"/>
        </a:p>
      </dgm:t>
    </dgm:pt>
    <dgm:pt modelId="{23E14E4B-5A9C-423E-A3EE-3E48C7AF3EC8}">
      <dgm:prSet custT="1"/>
      <dgm:spPr/>
      <dgm:t>
        <a:bodyPr/>
        <a:p>
          <a:pPr algn="ctr"/>
          <a:r>
            <a:rPr lang="en-US" sz="800"/>
            <a:t>14:24</a:t>
          </a:r>
          <a:r>
            <a:rPr lang="zh-CN" sz="800"/>
            <a:t>收入心血管监护室</a:t>
          </a:r>
          <a:endParaRPr lang="zh-CN" altLang="en-US" sz="800"/>
        </a:p>
      </dgm:t>
    </dgm:pt>
    <dgm:pt modelId="{9123D5B9-890B-439C-8222-2EDC8621273F}" cxnId="{0BCFDFD6-2BF0-4F8E-BEE9-5CD1BEEDE278}" type="parTrans">
      <dgm:prSet/>
      <dgm:spPr/>
      <dgm:t>
        <a:bodyPr/>
        <a:p>
          <a:pPr algn="ctr"/>
          <a:endParaRPr lang="zh-CN" altLang="en-US"/>
        </a:p>
      </dgm:t>
    </dgm:pt>
    <dgm:pt modelId="{156C8D76-ECB7-420E-9754-C0DE01ACEC17}" cxnId="{0BCFDFD6-2BF0-4F8E-BEE9-5CD1BEEDE278}" type="sibTrans">
      <dgm:prSet/>
      <dgm:spPr/>
      <dgm:t>
        <a:bodyPr/>
        <a:p>
          <a:pPr algn="ctr"/>
          <a:endParaRPr lang="zh-CN" altLang="en-US"/>
        </a:p>
      </dgm:t>
    </dgm:pt>
    <dgm:pt modelId="{749EEE7D-6E2C-48D4-A59C-E39B86640215}">
      <dgm:prSet phldrT="[文本]" custT="1"/>
      <dgm:spPr/>
      <dgm:t>
        <a:bodyPr/>
        <a:p>
          <a:pPr algn="ctr"/>
          <a:r>
            <a:rPr lang="en-US" altLang="zh-CN" sz="1100"/>
            <a:t>12</a:t>
          </a:r>
          <a:r>
            <a:rPr lang="zh-CN" altLang="en-US" sz="1100"/>
            <a:t>月</a:t>
          </a:r>
          <a:r>
            <a:rPr lang="en-US" altLang="zh-CN" sz="1100"/>
            <a:t>04</a:t>
          </a:r>
          <a:r>
            <a:rPr lang="zh-CN" altLang="en-US" sz="1100"/>
            <a:t>日</a:t>
          </a:r>
        </a:p>
      </dgm:t>
    </dgm:pt>
    <dgm:pt modelId="{71AB1A77-867C-4FEF-B2F4-FDEFFB9B9BB7}" cxnId="{7F0D372D-835B-4F15-8302-3EFD2903AF78}" type="parTrans">
      <dgm:prSet/>
      <dgm:spPr/>
      <dgm:t>
        <a:bodyPr/>
        <a:p>
          <a:pPr algn="ctr"/>
          <a:endParaRPr lang="zh-CN" altLang="en-US"/>
        </a:p>
      </dgm:t>
    </dgm:pt>
    <dgm:pt modelId="{523B8400-817F-46AE-9D0C-4F2BC2095C35}" cxnId="{7F0D372D-835B-4F15-8302-3EFD2903AF78}" type="sibTrans">
      <dgm:prSet/>
      <dgm:spPr/>
      <dgm:t>
        <a:bodyPr/>
        <a:p>
          <a:pPr algn="ctr"/>
          <a:endParaRPr lang="zh-CN" altLang="en-US"/>
        </a:p>
      </dgm:t>
    </dgm:pt>
    <dgm:pt modelId="{86EEAD8E-2A5B-4F8B-83C7-52090ED5C454}">
      <dgm:prSet custT="1"/>
      <dgm:spPr/>
      <dgm:t>
        <a:bodyPr/>
        <a:p>
          <a:pPr algn="ctr"/>
          <a:r>
            <a:rPr lang="zh-CN" sz="800"/>
            <a:t>患者情况好转，撤离</a:t>
          </a:r>
          <a:r>
            <a:rPr lang="en-US" sz="800"/>
            <a:t>ECMO</a:t>
          </a:r>
          <a:endParaRPr lang="zh-CN" altLang="en-US" sz="800"/>
        </a:p>
      </dgm:t>
    </dgm:pt>
    <dgm:pt modelId="{A509CE95-92FA-40C5-8FED-52713AF31337}" cxnId="{AB8D34D6-2E7F-445E-AF4C-832138826E14}" type="parTrans">
      <dgm:prSet/>
      <dgm:spPr/>
      <dgm:t>
        <a:bodyPr/>
        <a:p>
          <a:pPr algn="ctr"/>
          <a:endParaRPr lang="zh-CN" altLang="en-US"/>
        </a:p>
      </dgm:t>
    </dgm:pt>
    <dgm:pt modelId="{F34F9EE0-350A-462F-BCF8-65190FDE51BD}" cxnId="{AB8D34D6-2E7F-445E-AF4C-832138826E14}" type="sibTrans">
      <dgm:prSet/>
      <dgm:spPr/>
      <dgm:t>
        <a:bodyPr/>
        <a:p>
          <a:pPr algn="ctr"/>
          <a:endParaRPr lang="zh-CN" altLang="en-US"/>
        </a:p>
      </dgm:t>
    </dgm:pt>
    <dgm:pt modelId="{66448C14-C5C2-4AB3-BE63-34E2ACA06A7A}" type="pres">
      <dgm:prSet presAssocID="{B0994085-72B2-40D5-9836-BD584A76BA73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p>
          <a:endParaRPr lang="zh-CN" altLang="en-US"/>
        </a:p>
      </dgm:t>
    </dgm:pt>
    <dgm:pt modelId="{F7C01CE8-D7F8-49BA-8D65-D96A1E0234E2}" type="pres">
      <dgm:prSet presAssocID="{EB85FE76-A7B2-4671-86CA-CCC0C01015F2}" presName="compNode" presStyleCnt="0"/>
      <dgm:spPr/>
    </dgm:pt>
    <dgm:pt modelId="{DE654346-BD30-4B43-846E-792D0908A8C8}" type="pres">
      <dgm:prSet presAssocID="{EB85FE76-A7B2-4671-86CA-CCC0C01015F2}" presName="noGeometry" presStyleCnt="0"/>
      <dgm:spPr/>
    </dgm:pt>
    <dgm:pt modelId="{C7684D22-2510-4726-AA0C-9C9C81A6BEFB}" type="pres">
      <dgm:prSet presAssocID="{EB85FE76-A7B2-4671-86CA-CCC0C01015F2}" presName="childTextVisible" presStyleLbl="bgAccFollowNode1" presStyleIdx="0" presStyleCnt="4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1F068FD0-FE16-4724-AC47-544755A3E2D5}" type="pres">
      <dgm:prSet presAssocID="{EB85FE76-A7B2-4671-86CA-CCC0C01015F2}" presName="childTextHidden" presStyleLbl="bgAccFollowNode1" presStyleIdx="0" presStyleCnt="4"/>
      <dgm:spPr/>
      <dgm:t>
        <a:bodyPr/>
        <a:p>
          <a:endParaRPr lang="zh-CN" altLang="en-US"/>
        </a:p>
      </dgm:t>
    </dgm:pt>
    <dgm:pt modelId="{DCE271C9-6EBA-40C7-A45D-2E9F8B678804}" type="pres">
      <dgm:prSet presAssocID="{EB85FE76-A7B2-4671-86CA-CCC0C01015F2}" presName="parentText" presStyleLbl="node1" presStyleIdx="0" presStyleCnt="4">
        <dgm:presLayoutVars>
          <dgm:chMax val="1"/>
          <dgm:bulletEnabled val="1"/>
        </dgm:presLayoutVars>
      </dgm:prSet>
      <dgm:spPr/>
      <dgm:t>
        <a:bodyPr/>
        <a:p>
          <a:endParaRPr lang="zh-CN" altLang="en-US"/>
        </a:p>
      </dgm:t>
    </dgm:pt>
    <dgm:pt modelId="{0F7A4E80-E407-4D63-8553-8070A5B69E56}" type="pres">
      <dgm:prSet presAssocID="{EB85FE76-A7B2-4671-86CA-CCC0C01015F2}" presName="aSpace" presStyleCnt="0"/>
      <dgm:spPr/>
    </dgm:pt>
    <dgm:pt modelId="{D09333EE-EB75-4565-BADF-F8BD4A924C8D}" type="pres">
      <dgm:prSet presAssocID="{CDB5E186-0147-4DC7-85A9-8CF9CF05F746}" presName="compNode" presStyleCnt="0"/>
      <dgm:spPr/>
    </dgm:pt>
    <dgm:pt modelId="{7D599E47-3679-4C69-B9D0-4D1300AE724B}" type="pres">
      <dgm:prSet presAssocID="{CDB5E186-0147-4DC7-85A9-8CF9CF05F746}" presName="noGeometry" presStyleCnt="0"/>
      <dgm:spPr/>
    </dgm:pt>
    <dgm:pt modelId="{60B19ECE-9092-4162-B169-FA0791D8433A}" type="pres">
      <dgm:prSet presAssocID="{CDB5E186-0147-4DC7-85A9-8CF9CF05F746}" presName="childTextVisible" presStyleLbl="bgAccFollowNode1" presStyleIdx="1" presStyleCnt="4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CA909C9A-C6B3-4BCE-AA9C-410B87422C1A}" type="pres">
      <dgm:prSet presAssocID="{CDB5E186-0147-4DC7-85A9-8CF9CF05F746}" presName="childTextHidden" presStyleLbl="bgAccFollowNode1" presStyleIdx="1" presStyleCnt="4"/>
      <dgm:spPr/>
      <dgm:t>
        <a:bodyPr/>
        <a:p>
          <a:endParaRPr lang="zh-CN" altLang="en-US"/>
        </a:p>
      </dgm:t>
    </dgm:pt>
    <dgm:pt modelId="{8806EA3C-4A61-4DA8-BC77-B6C9D46CCA04}" type="pres">
      <dgm:prSet presAssocID="{CDB5E186-0147-4DC7-85A9-8CF9CF05F746}" presName="parentText" presStyleLbl="node1" presStyleIdx="1" presStyleCnt="4">
        <dgm:presLayoutVars>
          <dgm:chMax val="1"/>
          <dgm:bulletEnabled val="1"/>
        </dgm:presLayoutVars>
      </dgm:prSet>
      <dgm:spPr/>
      <dgm:t>
        <a:bodyPr/>
        <a:p>
          <a:endParaRPr lang="zh-CN" altLang="en-US"/>
        </a:p>
      </dgm:t>
    </dgm:pt>
    <dgm:pt modelId="{16DCB381-37AC-40E0-B097-6B8DB6D450F7}" type="pres">
      <dgm:prSet presAssocID="{CDB5E186-0147-4DC7-85A9-8CF9CF05F746}" presName="aSpace" presStyleCnt="0"/>
      <dgm:spPr/>
    </dgm:pt>
    <dgm:pt modelId="{64A5127A-F453-42AF-BE51-6E0B8E3A8093}" type="pres">
      <dgm:prSet presAssocID="{46AECC51-1266-4AEB-8A32-3DCEF8FD5FD3}" presName="compNode" presStyleCnt="0"/>
      <dgm:spPr/>
    </dgm:pt>
    <dgm:pt modelId="{DD963C17-3751-425C-BEB0-D1D45DDF2B90}" type="pres">
      <dgm:prSet presAssocID="{46AECC51-1266-4AEB-8A32-3DCEF8FD5FD3}" presName="noGeometry" presStyleCnt="0"/>
      <dgm:spPr/>
    </dgm:pt>
    <dgm:pt modelId="{6C12E5F6-CF07-4BE2-B0B2-FCC607D41DC3}" type="pres">
      <dgm:prSet presAssocID="{46AECC51-1266-4AEB-8A32-3DCEF8FD5FD3}" presName="childTextVisible" presStyleLbl="bgAccFollowNode1" presStyleIdx="2" presStyleCnt="4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6CF78B99-7A4A-4ECD-9B8E-C1BC91F2015A}" type="pres">
      <dgm:prSet presAssocID="{46AECC51-1266-4AEB-8A32-3DCEF8FD5FD3}" presName="childTextHidden" presStyleLbl="bgAccFollowNode1" presStyleIdx="2" presStyleCnt="4"/>
      <dgm:spPr/>
      <dgm:t>
        <a:bodyPr/>
        <a:p>
          <a:endParaRPr lang="zh-CN" altLang="en-US"/>
        </a:p>
      </dgm:t>
    </dgm:pt>
    <dgm:pt modelId="{397DC547-E026-4493-A5CB-18EC26DC2652}" type="pres">
      <dgm:prSet presAssocID="{46AECC51-1266-4AEB-8A32-3DCEF8FD5FD3}" presName="parentText" presStyleLbl="node1" presStyleIdx="2" presStyleCnt="4">
        <dgm:presLayoutVars>
          <dgm:chMax val="1"/>
          <dgm:bulletEnabled val="1"/>
        </dgm:presLayoutVars>
      </dgm:prSet>
      <dgm:spPr/>
      <dgm:t>
        <a:bodyPr/>
        <a:p>
          <a:endParaRPr lang="zh-CN" altLang="en-US"/>
        </a:p>
      </dgm:t>
    </dgm:pt>
    <dgm:pt modelId="{227B913A-3C7C-4D1D-A49A-5B29F42AF936}" type="pres">
      <dgm:prSet presAssocID="{46AECC51-1266-4AEB-8A32-3DCEF8FD5FD3}" presName="aSpace" presStyleCnt="0"/>
      <dgm:spPr/>
    </dgm:pt>
    <dgm:pt modelId="{4B537DF8-C6FB-4D72-B8F4-2798269D89D0}" type="pres">
      <dgm:prSet presAssocID="{749EEE7D-6E2C-48D4-A59C-E39B86640215}" presName="compNode" presStyleCnt="0"/>
      <dgm:spPr/>
    </dgm:pt>
    <dgm:pt modelId="{2D364D14-E1CB-44F5-A1E7-52C17F2E0E33}" type="pres">
      <dgm:prSet presAssocID="{749EEE7D-6E2C-48D4-A59C-E39B86640215}" presName="noGeometry" presStyleCnt="0"/>
      <dgm:spPr/>
    </dgm:pt>
    <dgm:pt modelId="{E3FA1D05-1DC4-4883-ACAF-B71C99F924E9}" type="pres">
      <dgm:prSet presAssocID="{749EEE7D-6E2C-48D4-A59C-E39B86640215}" presName="childTextVisible" presStyleLbl="bgAccFollowNode1" presStyleIdx="3" presStyleCnt="4">
        <dgm:presLayoutVars>
          <dgm:bulletEnabled val="1"/>
        </dgm:presLayoutVars>
      </dgm:prSet>
      <dgm:spPr/>
      <dgm:t>
        <a:bodyPr/>
        <a:p>
          <a:endParaRPr lang="zh-CN" altLang="en-US"/>
        </a:p>
      </dgm:t>
    </dgm:pt>
    <dgm:pt modelId="{5EE44978-43DE-40CE-A65F-4D29FE2973C6}" type="pres">
      <dgm:prSet presAssocID="{749EEE7D-6E2C-48D4-A59C-E39B86640215}" presName="childTextHidden" presStyleLbl="bgAccFollowNode1" presStyleIdx="3" presStyleCnt="4"/>
      <dgm:spPr/>
      <dgm:t>
        <a:bodyPr/>
        <a:p>
          <a:endParaRPr lang="zh-CN" altLang="en-US"/>
        </a:p>
      </dgm:t>
    </dgm:pt>
    <dgm:pt modelId="{DC537892-1771-41C4-A6B1-A3CDE5CD2243}" type="pres">
      <dgm:prSet presAssocID="{749EEE7D-6E2C-48D4-A59C-E39B86640215}" presName="parentText" presStyleLbl="node1" presStyleIdx="3" presStyleCnt="4">
        <dgm:presLayoutVars>
          <dgm:chMax val="1"/>
          <dgm:bulletEnabled val="1"/>
        </dgm:presLayoutVars>
      </dgm:prSet>
      <dgm:spPr/>
      <dgm:t>
        <a:bodyPr/>
        <a:p>
          <a:endParaRPr lang="zh-CN" altLang="en-US"/>
        </a:p>
      </dgm:t>
    </dgm:pt>
  </dgm:ptLst>
  <dgm:cxnLst>
    <dgm:cxn modelId="{867022E4-8A3E-48D9-B244-8A5F8DE5BCED}" type="presOf" srcId="{86EEAD8E-2A5B-4F8B-83C7-52090ED5C454}" destId="{5EE44978-43DE-40CE-A65F-4D29FE2973C6}" srcOrd="1" destOrd="0" presId="urn:microsoft.com/office/officeart/2005/8/layout/hProcess6"/>
    <dgm:cxn modelId="{CB3BE240-05CC-4D1A-93CA-AE3199E4861C}" type="presOf" srcId="{115140AB-5DEA-4801-8180-C96F269B2D35}" destId="{60B19ECE-9092-4162-B169-FA0791D8433A}" srcOrd="0" destOrd="0" presId="urn:microsoft.com/office/officeart/2005/8/layout/hProcess6"/>
    <dgm:cxn modelId="{8856768A-4BCE-4766-8141-B68E480CED83}" srcId="{EB85FE76-A7B2-4671-86CA-CCC0C01015F2}" destId="{DC59383C-2C93-4876-8FD3-DAD5BAAD1BC3}" srcOrd="0" destOrd="0" parTransId="{24180C51-CB67-44D6-AEF9-523CDA28F51F}" sibTransId="{B36C00D2-6362-4BB9-895B-B0975E2243D5}"/>
    <dgm:cxn modelId="{AB8D34D6-2E7F-445E-AF4C-832138826E14}" srcId="{749EEE7D-6E2C-48D4-A59C-E39B86640215}" destId="{86EEAD8E-2A5B-4F8B-83C7-52090ED5C454}" srcOrd="0" destOrd="0" parTransId="{A509CE95-92FA-40C5-8FED-52713AF31337}" sibTransId="{F34F9EE0-350A-462F-BCF8-65190FDE51BD}"/>
    <dgm:cxn modelId="{7F0D372D-835B-4F15-8302-3EFD2903AF78}" srcId="{B0994085-72B2-40D5-9836-BD584A76BA73}" destId="{749EEE7D-6E2C-48D4-A59C-E39B86640215}" srcOrd="3" destOrd="0" parTransId="{71AB1A77-867C-4FEF-B2F4-FDEFFB9B9BB7}" sibTransId="{523B8400-817F-46AE-9D0C-4F2BC2095C35}"/>
    <dgm:cxn modelId="{923E09D0-C570-4C4A-84AF-628FDF158130}" type="presOf" srcId="{46AECC51-1266-4AEB-8A32-3DCEF8FD5FD3}" destId="{397DC547-E026-4493-A5CB-18EC26DC2652}" srcOrd="0" destOrd="0" presId="urn:microsoft.com/office/officeart/2005/8/layout/hProcess6"/>
    <dgm:cxn modelId="{118CC746-2FBA-4359-BB79-8825BB3E5658}" srcId="{B0994085-72B2-40D5-9836-BD584A76BA73}" destId="{46AECC51-1266-4AEB-8A32-3DCEF8FD5FD3}" srcOrd="2" destOrd="0" parTransId="{83F921BE-1A55-40F9-B273-BACEF1AEECC3}" sibTransId="{59328E4B-C5CE-4C76-9842-18EC8E727AA8}"/>
    <dgm:cxn modelId="{C06B801E-5B2D-4D1B-9EAB-4625C3BEBDDF}" srcId="{B0994085-72B2-40D5-9836-BD584A76BA73}" destId="{CDB5E186-0147-4DC7-85A9-8CF9CF05F746}" srcOrd="1" destOrd="0" parTransId="{F000663C-3613-4E98-B610-1C618DB6616D}" sibTransId="{8496D370-3FA6-42A3-A5C7-9078A1FB6385}"/>
    <dgm:cxn modelId="{DFCB0880-5BC2-4AE4-9FB8-4FE9F0D055EE}" srcId="{B0994085-72B2-40D5-9836-BD584A76BA73}" destId="{EB85FE76-A7B2-4671-86CA-CCC0C01015F2}" srcOrd="0" destOrd="0" parTransId="{7587E715-DEB5-4142-8BF2-89923BF7270F}" sibTransId="{FE505554-563E-4840-9877-4E158955820A}"/>
    <dgm:cxn modelId="{CC60ABE2-D48E-46D0-A4F9-5CEE22A820DA}" type="presOf" srcId="{CDB5E186-0147-4DC7-85A9-8CF9CF05F746}" destId="{8806EA3C-4A61-4DA8-BC77-B6C9D46CCA04}" srcOrd="0" destOrd="0" presId="urn:microsoft.com/office/officeart/2005/8/layout/hProcess6"/>
    <dgm:cxn modelId="{3012880A-31F5-405B-BCF5-793602448364}" type="presOf" srcId="{B0994085-72B2-40D5-9836-BD584A76BA73}" destId="{66448C14-C5C2-4AB3-BE63-34E2ACA06A7A}" srcOrd="0" destOrd="0" presId="urn:microsoft.com/office/officeart/2005/8/layout/hProcess6"/>
    <dgm:cxn modelId="{E052DCC7-D7BE-4194-9D88-6449CAF18EE0}" type="presOf" srcId="{EB85FE76-A7B2-4671-86CA-CCC0C01015F2}" destId="{DCE271C9-6EBA-40C7-A45D-2E9F8B678804}" srcOrd="0" destOrd="0" presId="urn:microsoft.com/office/officeart/2005/8/layout/hProcess6"/>
    <dgm:cxn modelId="{7C08DA3D-97EA-4828-9E4F-DBAF8BA64CA7}" type="presOf" srcId="{23E14E4B-5A9C-423E-A3EE-3E48C7AF3EC8}" destId="{60B19ECE-9092-4162-B169-FA0791D8433A}" srcOrd="0" destOrd="1" presId="urn:microsoft.com/office/officeart/2005/8/layout/hProcess6"/>
    <dgm:cxn modelId="{9EA26CEE-93B7-43CD-94E0-30743845015E}" type="presOf" srcId="{91EB6517-9F68-447F-8E2A-4F7D73E0076D}" destId="{6C12E5F6-CF07-4BE2-B0B2-FCC607D41DC3}" srcOrd="0" destOrd="0" presId="urn:microsoft.com/office/officeart/2005/8/layout/hProcess6"/>
    <dgm:cxn modelId="{ABFC6744-E6AD-4495-8B42-CD112F79CB7E}" type="presOf" srcId="{91EB6517-9F68-447F-8E2A-4F7D73E0076D}" destId="{6CF78B99-7A4A-4ECD-9B8E-C1BC91F2015A}" srcOrd="1" destOrd="0" presId="urn:microsoft.com/office/officeart/2005/8/layout/hProcess6"/>
    <dgm:cxn modelId="{76D37B3F-DB96-47D2-84BC-4DD95A6F8D98}" type="presOf" srcId="{DC59383C-2C93-4876-8FD3-DAD5BAAD1BC3}" destId="{1F068FD0-FE16-4724-AC47-544755A3E2D5}" srcOrd="1" destOrd="0" presId="urn:microsoft.com/office/officeart/2005/8/layout/hProcess6"/>
    <dgm:cxn modelId="{6869F96C-BA90-4863-9CAB-C29BC31B0335}" srcId="{CDB5E186-0147-4DC7-85A9-8CF9CF05F746}" destId="{115140AB-5DEA-4801-8180-C96F269B2D35}" srcOrd="0" destOrd="0" parTransId="{CD692AA7-620E-479D-9E1A-C3171F1AF217}" sibTransId="{A3AA494D-1A99-43C5-914F-DA3E34212B32}"/>
    <dgm:cxn modelId="{C2299F9F-C322-4313-AA99-C6E885102C45}" type="presOf" srcId="{DC59383C-2C93-4876-8FD3-DAD5BAAD1BC3}" destId="{C7684D22-2510-4726-AA0C-9C9C81A6BEFB}" srcOrd="0" destOrd="0" presId="urn:microsoft.com/office/officeart/2005/8/layout/hProcess6"/>
    <dgm:cxn modelId="{E6A6E78A-1832-47B9-9E9D-19A553EBA43D}" type="presOf" srcId="{115140AB-5DEA-4801-8180-C96F269B2D35}" destId="{CA909C9A-C6B3-4BCE-AA9C-410B87422C1A}" srcOrd="1" destOrd="0" presId="urn:microsoft.com/office/officeart/2005/8/layout/hProcess6"/>
    <dgm:cxn modelId="{0BCFDFD6-2BF0-4F8E-BEE9-5CD1BEEDE278}" srcId="{CDB5E186-0147-4DC7-85A9-8CF9CF05F746}" destId="{23E14E4B-5A9C-423E-A3EE-3E48C7AF3EC8}" srcOrd="1" destOrd="0" parTransId="{9123D5B9-890B-439C-8222-2EDC8621273F}" sibTransId="{156C8D76-ECB7-420E-9754-C0DE01ACEC17}"/>
    <dgm:cxn modelId="{1EF6A738-91C9-4FB6-8539-21DEE6B8DD09}" srcId="{46AECC51-1266-4AEB-8A32-3DCEF8FD5FD3}" destId="{91EB6517-9F68-447F-8E2A-4F7D73E0076D}" srcOrd="0" destOrd="0" parTransId="{CFD70E4C-0ECD-4852-BE4E-E2DEF2152677}" sibTransId="{0CEED2EA-54E3-4264-B804-9DF571AD27CB}"/>
    <dgm:cxn modelId="{0324CCA5-1751-4C9E-92C4-6426DC4E5437}" type="presOf" srcId="{23E14E4B-5A9C-423E-A3EE-3E48C7AF3EC8}" destId="{CA909C9A-C6B3-4BCE-AA9C-410B87422C1A}" srcOrd="1" destOrd="1" presId="urn:microsoft.com/office/officeart/2005/8/layout/hProcess6"/>
    <dgm:cxn modelId="{657A024E-FAE4-4C06-88C8-85E8A7916F1B}" type="presOf" srcId="{86EEAD8E-2A5B-4F8B-83C7-52090ED5C454}" destId="{E3FA1D05-1DC4-4883-ACAF-B71C99F924E9}" srcOrd="0" destOrd="0" presId="urn:microsoft.com/office/officeart/2005/8/layout/hProcess6"/>
    <dgm:cxn modelId="{822D9574-B5C6-4BA4-861A-906609A57471}" type="presOf" srcId="{749EEE7D-6E2C-48D4-A59C-E39B86640215}" destId="{DC537892-1771-41C4-A6B1-A3CDE5CD2243}" srcOrd="0" destOrd="0" presId="urn:microsoft.com/office/officeart/2005/8/layout/hProcess6"/>
    <dgm:cxn modelId="{5D8B2D54-7BB4-4D31-A197-55DBCF852912}" type="presParOf" srcId="{66448C14-C5C2-4AB3-BE63-34E2ACA06A7A}" destId="{F7C01CE8-D7F8-49BA-8D65-D96A1E0234E2}" srcOrd="0" destOrd="0" presId="urn:microsoft.com/office/officeart/2005/8/layout/hProcess6"/>
    <dgm:cxn modelId="{7E21CA4E-DF66-4E20-9E28-CD51D7025B4C}" type="presParOf" srcId="{F7C01CE8-D7F8-49BA-8D65-D96A1E0234E2}" destId="{DE654346-BD30-4B43-846E-792D0908A8C8}" srcOrd="0" destOrd="0" presId="urn:microsoft.com/office/officeart/2005/8/layout/hProcess6"/>
    <dgm:cxn modelId="{6955BCA0-DE34-4C97-AF6A-C9BE21DD2C3B}" type="presParOf" srcId="{F7C01CE8-D7F8-49BA-8D65-D96A1E0234E2}" destId="{C7684D22-2510-4726-AA0C-9C9C81A6BEFB}" srcOrd="1" destOrd="0" presId="urn:microsoft.com/office/officeart/2005/8/layout/hProcess6"/>
    <dgm:cxn modelId="{195C9D77-084E-4DCA-B2A3-BBC41F9A89E1}" type="presParOf" srcId="{F7C01CE8-D7F8-49BA-8D65-D96A1E0234E2}" destId="{1F068FD0-FE16-4724-AC47-544755A3E2D5}" srcOrd="2" destOrd="0" presId="urn:microsoft.com/office/officeart/2005/8/layout/hProcess6"/>
    <dgm:cxn modelId="{A351BB2B-3D8C-4479-9306-4B5E4395F9D9}" type="presParOf" srcId="{F7C01CE8-D7F8-49BA-8D65-D96A1E0234E2}" destId="{DCE271C9-6EBA-40C7-A45D-2E9F8B678804}" srcOrd="3" destOrd="0" presId="urn:microsoft.com/office/officeart/2005/8/layout/hProcess6"/>
    <dgm:cxn modelId="{91B7F1A5-25E6-4478-ADE2-61B62538BBED}" type="presParOf" srcId="{66448C14-C5C2-4AB3-BE63-34E2ACA06A7A}" destId="{0F7A4E80-E407-4D63-8553-8070A5B69E56}" srcOrd="1" destOrd="0" presId="urn:microsoft.com/office/officeart/2005/8/layout/hProcess6"/>
    <dgm:cxn modelId="{17D31CCE-1FE0-4D52-9E82-869C284CEC45}" type="presParOf" srcId="{66448C14-C5C2-4AB3-BE63-34E2ACA06A7A}" destId="{D09333EE-EB75-4565-BADF-F8BD4A924C8D}" srcOrd="2" destOrd="0" presId="urn:microsoft.com/office/officeart/2005/8/layout/hProcess6"/>
    <dgm:cxn modelId="{62E3F11D-EB55-45C4-8F09-6E7F4C9C7A78}" type="presParOf" srcId="{D09333EE-EB75-4565-BADF-F8BD4A924C8D}" destId="{7D599E47-3679-4C69-B9D0-4D1300AE724B}" srcOrd="0" destOrd="0" presId="urn:microsoft.com/office/officeart/2005/8/layout/hProcess6"/>
    <dgm:cxn modelId="{5F789811-3B89-4055-A032-A1899BC5AC58}" type="presParOf" srcId="{D09333EE-EB75-4565-BADF-F8BD4A924C8D}" destId="{60B19ECE-9092-4162-B169-FA0791D8433A}" srcOrd="1" destOrd="0" presId="urn:microsoft.com/office/officeart/2005/8/layout/hProcess6"/>
    <dgm:cxn modelId="{D8CB4967-EE7C-4399-85D7-2831898D2FCE}" type="presParOf" srcId="{D09333EE-EB75-4565-BADF-F8BD4A924C8D}" destId="{CA909C9A-C6B3-4BCE-AA9C-410B87422C1A}" srcOrd="2" destOrd="0" presId="urn:microsoft.com/office/officeart/2005/8/layout/hProcess6"/>
    <dgm:cxn modelId="{8F417AB3-1665-4F2A-8B1A-AF90333ED103}" type="presParOf" srcId="{D09333EE-EB75-4565-BADF-F8BD4A924C8D}" destId="{8806EA3C-4A61-4DA8-BC77-B6C9D46CCA04}" srcOrd="3" destOrd="0" presId="urn:microsoft.com/office/officeart/2005/8/layout/hProcess6"/>
    <dgm:cxn modelId="{35868471-CE11-4E22-9BF1-8B592D84B57E}" type="presParOf" srcId="{66448C14-C5C2-4AB3-BE63-34E2ACA06A7A}" destId="{16DCB381-37AC-40E0-B097-6B8DB6D450F7}" srcOrd="3" destOrd="0" presId="urn:microsoft.com/office/officeart/2005/8/layout/hProcess6"/>
    <dgm:cxn modelId="{DB4875C8-A01B-4850-A9F0-4574DD8912DB}" type="presParOf" srcId="{66448C14-C5C2-4AB3-BE63-34E2ACA06A7A}" destId="{64A5127A-F453-42AF-BE51-6E0B8E3A8093}" srcOrd="4" destOrd="0" presId="urn:microsoft.com/office/officeart/2005/8/layout/hProcess6"/>
    <dgm:cxn modelId="{71A12EA6-F13E-4F00-AD0A-47DECEC9668E}" type="presParOf" srcId="{64A5127A-F453-42AF-BE51-6E0B8E3A8093}" destId="{DD963C17-3751-425C-BEB0-D1D45DDF2B90}" srcOrd="0" destOrd="0" presId="urn:microsoft.com/office/officeart/2005/8/layout/hProcess6"/>
    <dgm:cxn modelId="{31A57B98-2B72-49B8-910F-76282B692F87}" type="presParOf" srcId="{64A5127A-F453-42AF-BE51-6E0B8E3A8093}" destId="{6C12E5F6-CF07-4BE2-B0B2-FCC607D41DC3}" srcOrd="1" destOrd="0" presId="urn:microsoft.com/office/officeart/2005/8/layout/hProcess6"/>
    <dgm:cxn modelId="{92021F32-E8E1-4D28-8F4A-2430AC98083B}" type="presParOf" srcId="{64A5127A-F453-42AF-BE51-6E0B8E3A8093}" destId="{6CF78B99-7A4A-4ECD-9B8E-C1BC91F2015A}" srcOrd="2" destOrd="0" presId="urn:microsoft.com/office/officeart/2005/8/layout/hProcess6"/>
    <dgm:cxn modelId="{348FEB74-657A-440C-95BD-B604EF0EF1FE}" type="presParOf" srcId="{64A5127A-F453-42AF-BE51-6E0B8E3A8093}" destId="{397DC547-E026-4493-A5CB-18EC26DC2652}" srcOrd="3" destOrd="0" presId="urn:microsoft.com/office/officeart/2005/8/layout/hProcess6"/>
    <dgm:cxn modelId="{BEE57BD2-BECE-4802-A9F2-AFC297A7D545}" type="presParOf" srcId="{66448C14-C5C2-4AB3-BE63-34E2ACA06A7A}" destId="{227B913A-3C7C-4D1D-A49A-5B29F42AF936}" srcOrd="5" destOrd="0" presId="urn:microsoft.com/office/officeart/2005/8/layout/hProcess6"/>
    <dgm:cxn modelId="{FE70F924-5FAB-4398-9EE1-1308202C4285}" type="presParOf" srcId="{66448C14-C5C2-4AB3-BE63-34E2ACA06A7A}" destId="{4B537DF8-C6FB-4D72-B8F4-2798269D89D0}" srcOrd="6" destOrd="0" presId="urn:microsoft.com/office/officeart/2005/8/layout/hProcess6"/>
    <dgm:cxn modelId="{12396BB6-3072-4D6E-B602-2367E9C869EA}" type="presParOf" srcId="{4B537DF8-C6FB-4D72-B8F4-2798269D89D0}" destId="{2D364D14-E1CB-44F5-A1E7-52C17F2E0E33}" srcOrd="0" destOrd="0" presId="urn:microsoft.com/office/officeart/2005/8/layout/hProcess6"/>
    <dgm:cxn modelId="{707400B9-580F-4375-9C5E-3DFBAF016834}" type="presParOf" srcId="{4B537DF8-C6FB-4D72-B8F4-2798269D89D0}" destId="{E3FA1D05-1DC4-4883-ACAF-B71C99F924E9}" srcOrd="1" destOrd="0" presId="urn:microsoft.com/office/officeart/2005/8/layout/hProcess6"/>
    <dgm:cxn modelId="{5E05DAE7-5805-401C-824B-3E0E09402DF5}" type="presParOf" srcId="{4B537DF8-C6FB-4D72-B8F4-2798269D89D0}" destId="{5EE44978-43DE-40CE-A65F-4D29FE2973C6}" srcOrd="2" destOrd="0" presId="urn:microsoft.com/office/officeart/2005/8/layout/hProcess6"/>
    <dgm:cxn modelId="{4DC7096E-C098-463B-BCF0-30B15AE713A1}" type="presParOf" srcId="{4B537DF8-C6FB-4D72-B8F4-2798269D89D0}" destId="{DC537892-1771-41C4-A6B1-A3CDE5CD2243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925185" cy="1996440"/>
        <a:chOff x="0" y="0"/>
        <a:chExt cx="5925185" cy="1996440"/>
      </a:xfrm>
    </dsp:grpSpPr>
    <dsp:sp modelId="{C7684D22-2510-4726-AA0C-9C9C81A6BEFB}">
      <dsp:nvSpPr>
        <dsp:cNvPr id="3" name="右箭头 2"/>
        <dsp:cNvSpPr/>
      </dsp:nvSpPr>
      <dsp:spPr bwMode="white">
        <a:xfrm>
          <a:off x="285551" y="499005"/>
          <a:ext cx="1142204" cy="998430"/>
        </a:xfrm>
        <a:prstGeom prst="rightArrow">
          <a:avLst>
            <a:gd name="adj1" fmla="val 70000"/>
            <a:gd name="adj2" fmla="val 50000"/>
          </a:avLst>
        </a:prstGeom>
      </dsp:spPr>
      <dsp:style>
        <a:lnRef idx="2">
          <a:schemeClr val="accent1">
            <a:alpha val="90000"/>
            <a:tint val="40000"/>
          </a:schemeClr>
        </a:lnRef>
        <a:fillRef idx="1">
          <a:schemeClr val="accent1">
            <a:alpha val="90000"/>
            <a:tint val="40000"/>
          </a:schemeClr>
        </a:fillRef>
        <a:effectRef idx="0">
          <a:scrgbClr r="0" g="0" b="0"/>
        </a:effectRef>
        <a:fontRef idx="minor"/>
      </dsp:style>
      <dsp:txBody>
        <a:bodyPr lIns="20320" tIns="5080" rIns="10160" bIns="5080" anchor="ctr"/>
        <a:lstStyle>
          <a:lvl1pPr algn="ctr">
            <a:defRPr sz="6500"/>
          </a:lvl1pPr>
          <a:lvl2pPr marL="285750" indent="-285750" algn="ctr">
            <a:defRPr sz="6500"/>
          </a:lvl2pPr>
          <a:lvl3pPr marL="571500" indent="-285750" algn="ctr">
            <a:defRPr sz="6500"/>
          </a:lvl3pPr>
          <a:lvl4pPr marL="857250" indent="-285750" algn="ctr">
            <a:defRPr sz="6500"/>
          </a:lvl4pPr>
          <a:lvl5pPr marL="1143000" indent="-285750" algn="ctr">
            <a:defRPr sz="6500"/>
          </a:lvl5pPr>
          <a:lvl6pPr marL="1428750" indent="-285750" algn="ctr">
            <a:defRPr sz="6500"/>
          </a:lvl6pPr>
          <a:lvl7pPr marL="1714500" indent="-285750" algn="ctr">
            <a:defRPr sz="6500"/>
          </a:lvl7pPr>
          <a:lvl8pPr marL="2000250" indent="-285750" algn="ctr">
            <a:defRPr sz="6500"/>
          </a:lvl8pPr>
          <a:lvl9pPr marL="2286000" indent="-285750" algn="ctr">
            <a:defRPr sz="6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>
              <a:solidFill>
                <a:schemeClr val="dk1"/>
              </a:solidFill>
            </a:rPr>
            <a:t>18:11</a:t>
          </a:r>
          <a:r>
            <a:rPr lang="zh-CN" sz="800">
              <a:solidFill>
                <a:schemeClr val="dk1"/>
              </a:solidFill>
            </a:rPr>
            <a:t>急诊科行心肺复苏术</a:t>
          </a:r>
          <a:endParaRPr lang="zh-CN" altLang="en-US" sz="800">
            <a:solidFill>
              <a:schemeClr val="dk1"/>
            </a:solidFill>
          </a:endParaRPr>
        </a:p>
      </dsp:txBody>
      <dsp:txXfrm>
        <a:off x="285551" y="499005"/>
        <a:ext cx="1142204" cy="998430"/>
      </dsp:txXfrm>
    </dsp:sp>
    <dsp:sp modelId="{DCE271C9-6EBA-40C7-A45D-2E9F8B678804}">
      <dsp:nvSpPr>
        <dsp:cNvPr id="4" name="椭圆 3"/>
        <dsp:cNvSpPr/>
      </dsp:nvSpPr>
      <dsp:spPr bwMode="white">
        <a:xfrm>
          <a:off x="0" y="712669"/>
          <a:ext cx="571102" cy="571102"/>
        </a:xfrm>
        <a:prstGeom prst="ellipse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6985" tIns="6985" rIns="6985" bIns="698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/>
            <a:t>11</a:t>
          </a:r>
          <a:r>
            <a:rPr lang="zh-CN" altLang="en-US" sz="1100"/>
            <a:t>月</a:t>
          </a:r>
          <a:r>
            <a:rPr lang="en-US" altLang="zh-CN" sz="1100"/>
            <a:t>28</a:t>
          </a:r>
          <a:r>
            <a:rPr lang="zh-CN" altLang="en-US" sz="1100"/>
            <a:t>日</a:t>
          </a:r>
        </a:p>
      </dsp:txBody>
      <dsp:txXfrm>
        <a:off x="0" y="712669"/>
        <a:ext cx="571102" cy="571102"/>
      </dsp:txXfrm>
    </dsp:sp>
    <dsp:sp modelId="{60B19ECE-9092-4162-B169-FA0791D8433A}">
      <dsp:nvSpPr>
        <dsp:cNvPr id="5" name="右箭头 4"/>
        <dsp:cNvSpPr/>
      </dsp:nvSpPr>
      <dsp:spPr bwMode="white">
        <a:xfrm>
          <a:off x="1784694" y="499005"/>
          <a:ext cx="1142204" cy="998430"/>
        </a:xfrm>
        <a:prstGeom prst="rightArrow">
          <a:avLst>
            <a:gd name="adj1" fmla="val 70000"/>
            <a:gd name="adj2" fmla="val 50000"/>
          </a:avLst>
        </a:prstGeom>
      </dsp:spPr>
      <dsp:style>
        <a:lnRef idx="2">
          <a:schemeClr val="accent1">
            <a:alpha val="90000"/>
            <a:tint val="40000"/>
          </a:schemeClr>
        </a:lnRef>
        <a:fillRef idx="1">
          <a:schemeClr val="accent1">
            <a:alpha val="90000"/>
            <a:tint val="40000"/>
          </a:schemeClr>
        </a:fillRef>
        <a:effectRef idx="0">
          <a:scrgbClr r="0" g="0" b="0"/>
        </a:effectRef>
        <a:fontRef idx="minor"/>
      </dsp:style>
      <dsp:txBody>
        <a:bodyPr lIns="20320" tIns="5080" rIns="10160" bIns="5080" anchor="ctr"/>
        <a:lstStyle>
          <a:lvl1pPr algn="l">
            <a:defRPr sz="6500"/>
          </a:lvl1pPr>
          <a:lvl2pPr marL="285750" indent="-285750" algn="l">
            <a:defRPr sz="6500"/>
          </a:lvl2pPr>
          <a:lvl3pPr marL="571500" indent="-285750" algn="l">
            <a:defRPr sz="6500"/>
          </a:lvl3pPr>
          <a:lvl4pPr marL="857250" indent="-285750" algn="l">
            <a:defRPr sz="6500"/>
          </a:lvl4pPr>
          <a:lvl5pPr marL="1143000" indent="-285750" algn="l">
            <a:defRPr sz="6500"/>
          </a:lvl5pPr>
          <a:lvl6pPr marL="1428750" indent="-285750" algn="l">
            <a:defRPr sz="6500"/>
          </a:lvl6pPr>
          <a:lvl7pPr marL="1714500" indent="-285750" algn="l">
            <a:defRPr sz="6500"/>
          </a:lvl7pPr>
          <a:lvl8pPr marL="2000250" indent="-285750" algn="l">
            <a:defRPr sz="6500"/>
          </a:lvl8pPr>
          <a:lvl9pPr marL="2286000" indent="-285750" algn="l">
            <a:defRPr sz="6500"/>
          </a:lvl9pPr>
        </a:lstStyle>
        <a:p>
          <a:pPr marL="57150" lvl="1" indent="-57150" algn="ctr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800">
              <a:solidFill>
                <a:schemeClr val="dk1"/>
              </a:solidFill>
            </a:rPr>
            <a:t>10:00</a:t>
          </a:r>
          <a:r>
            <a:rPr lang="zh-CN" sz="800">
              <a:solidFill>
                <a:schemeClr val="dk1"/>
              </a:solidFill>
            </a:rPr>
            <a:t>行</a:t>
          </a:r>
          <a:r>
            <a:rPr lang="en-US" sz="800">
              <a:solidFill>
                <a:schemeClr val="dk1"/>
              </a:solidFill>
            </a:rPr>
            <a:t>ECMO</a:t>
          </a:r>
          <a:r>
            <a:rPr lang="zh-CN" sz="800">
              <a:solidFill>
                <a:schemeClr val="dk1"/>
              </a:solidFill>
            </a:rPr>
            <a:t>安装术</a:t>
          </a:r>
          <a:endParaRPr lang="zh-CN" altLang="en-US" sz="800">
            <a:solidFill>
              <a:schemeClr val="dk1"/>
            </a:solidFill>
          </a:endParaRPr>
        </a:p>
        <a:p>
          <a:pPr marL="57150" lvl="1" indent="-57150" algn="ctr">
            <a:lnSpc>
              <a:spcPct val="10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800">
              <a:solidFill>
                <a:schemeClr val="dk1"/>
              </a:solidFill>
            </a:rPr>
            <a:t>14:24</a:t>
          </a:r>
          <a:r>
            <a:rPr lang="zh-CN" sz="800">
              <a:solidFill>
                <a:schemeClr val="dk1"/>
              </a:solidFill>
            </a:rPr>
            <a:t>收入心血管监护室</a:t>
          </a:r>
          <a:endParaRPr lang="zh-CN" altLang="en-US" sz="800">
            <a:solidFill>
              <a:schemeClr val="dk1"/>
            </a:solidFill>
          </a:endParaRPr>
        </a:p>
      </dsp:txBody>
      <dsp:txXfrm>
        <a:off x="1784694" y="499005"/>
        <a:ext cx="1142204" cy="998430"/>
      </dsp:txXfrm>
    </dsp:sp>
    <dsp:sp modelId="{8806EA3C-4A61-4DA8-BC77-B6C9D46CCA04}">
      <dsp:nvSpPr>
        <dsp:cNvPr id="6" name="椭圆 5"/>
        <dsp:cNvSpPr/>
      </dsp:nvSpPr>
      <dsp:spPr bwMode="white">
        <a:xfrm>
          <a:off x="1499143" y="712669"/>
          <a:ext cx="571102" cy="571102"/>
        </a:xfrm>
        <a:prstGeom prst="ellipse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6985" tIns="6985" rIns="6985" bIns="698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/>
            <a:t>11</a:t>
          </a:r>
          <a:r>
            <a:rPr lang="zh-CN" altLang="en-US" sz="1100"/>
            <a:t>月</a:t>
          </a:r>
          <a:r>
            <a:rPr lang="en-US" altLang="zh-CN" sz="1100"/>
            <a:t>29</a:t>
          </a:r>
          <a:r>
            <a:rPr lang="zh-CN" altLang="en-US" sz="1100"/>
            <a:t>日</a:t>
          </a:r>
        </a:p>
      </dsp:txBody>
      <dsp:txXfrm>
        <a:off x="1499143" y="712669"/>
        <a:ext cx="571102" cy="571102"/>
      </dsp:txXfrm>
    </dsp:sp>
    <dsp:sp modelId="{6C12E5F6-CF07-4BE2-B0B2-FCC607D41DC3}">
      <dsp:nvSpPr>
        <dsp:cNvPr id="7" name="右箭头 6"/>
        <dsp:cNvSpPr/>
      </dsp:nvSpPr>
      <dsp:spPr bwMode="white">
        <a:xfrm>
          <a:off x="3283837" y="499005"/>
          <a:ext cx="1142204" cy="998430"/>
        </a:xfrm>
        <a:prstGeom prst="rightArrow">
          <a:avLst>
            <a:gd name="adj1" fmla="val 70000"/>
            <a:gd name="adj2" fmla="val 50000"/>
          </a:avLst>
        </a:prstGeom>
      </dsp:spPr>
      <dsp:style>
        <a:lnRef idx="2">
          <a:schemeClr val="accent1">
            <a:alpha val="90000"/>
            <a:tint val="40000"/>
          </a:schemeClr>
        </a:lnRef>
        <a:fillRef idx="1">
          <a:schemeClr val="accent1">
            <a:alpha val="90000"/>
            <a:tint val="40000"/>
          </a:schemeClr>
        </a:fillRef>
        <a:effectRef idx="0">
          <a:scrgbClr r="0" g="0" b="0"/>
        </a:effectRef>
        <a:fontRef idx="minor"/>
      </dsp:style>
      <dsp:txBody>
        <a:bodyPr lIns="20320" tIns="5080" rIns="10160" bIns="5080" anchor="ctr"/>
        <a:lstStyle>
          <a:lvl1pPr algn="ctr">
            <a:defRPr sz="6500"/>
          </a:lvl1pPr>
          <a:lvl2pPr marL="285750" indent="-285750" algn="ctr">
            <a:defRPr sz="6500"/>
          </a:lvl2pPr>
          <a:lvl3pPr marL="571500" indent="-285750" algn="ctr">
            <a:defRPr sz="6500"/>
          </a:lvl3pPr>
          <a:lvl4pPr marL="857250" indent="-285750" algn="ctr">
            <a:defRPr sz="6500"/>
          </a:lvl4pPr>
          <a:lvl5pPr marL="1143000" indent="-285750" algn="ctr">
            <a:defRPr sz="6500"/>
          </a:lvl5pPr>
          <a:lvl6pPr marL="1428750" indent="-285750" algn="ctr">
            <a:defRPr sz="6500"/>
          </a:lvl6pPr>
          <a:lvl7pPr marL="1714500" indent="-285750" algn="ctr">
            <a:defRPr sz="6500"/>
          </a:lvl7pPr>
          <a:lvl8pPr marL="2000250" indent="-285750" algn="ctr">
            <a:defRPr sz="6500"/>
          </a:lvl8pPr>
          <a:lvl9pPr marL="2286000" indent="-285750" algn="ctr">
            <a:defRPr sz="6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>
              <a:solidFill>
                <a:schemeClr val="dk1"/>
              </a:solidFill>
            </a:rPr>
            <a:t>给予输血治疗</a:t>
          </a:r>
          <a:endParaRPr>
            <a:solidFill>
              <a:schemeClr val="dk1"/>
            </a:solidFill>
          </a:endParaRPr>
        </a:p>
      </dsp:txBody>
      <dsp:txXfrm>
        <a:off x="3283837" y="499005"/>
        <a:ext cx="1142204" cy="998430"/>
      </dsp:txXfrm>
    </dsp:sp>
    <dsp:sp modelId="{397DC547-E026-4493-A5CB-18EC26DC2652}">
      <dsp:nvSpPr>
        <dsp:cNvPr id="8" name="椭圆 7"/>
        <dsp:cNvSpPr/>
      </dsp:nvSpPr>
      <dsp:spPr bwMode="white">
        <a:xfrm>
          <a:off x="2998286" y="712669"/>
          <a:ext cx="571102" cy="571102"/>
        </a:xfrm>
        <a:prstGeom prst="ellipse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6985" tIns="6985" rIns="6985" bIns="698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/>
            <a:t>12</a:t>
          </a:r>
          <a:r>
            <a:rPr lang="zh-CN" altLang="en-US" sz="1100"/>
            <a:t>月</a:t>
          </a:r>
          <a:r>
            <a:rPr lang="en-US" altLang="zh-CN" sz="1100"/>
            <a:t>02</a:t>
          </a:r>
          <a:r>
            <a:rPr lang="zh-CN" altLang="en-US" sz="1100"/>
            <a:t>日</a:t>
          </a:r>
        </a:p>
      </dsp:txBody>
      <dsp:txXfrm>
        <a:off x="2998286" y="712669"/>
        <a:ext cx="571102" cy="571102"/>
      </dsp:txXfrm>
    </dsp:sp>
    <dsp:sp modelId="{E3FA1D05-1DC4-4883-ACAF-B71C99F924E9}">
      <dsp:nvSpPr>
        <dsp:cNvPr id="9" name="右箭头 8"/>
        <dsp:cNvSpPr/>
      </dsp:nvSpPr>
      <dsp:spPr bwMode="white">
        <a:xfrm>
          <a:off x="4782981" y="499005"/>
          <a:ext cx="1142204" cy="998430"/>
        </a:xfrm>
        <a:prstGeom prst="rightArrow">
          <a:avLst>
            <a:gd name="adj1" fmla="val 70000"/>
            <a:gd name="adj2" fmla="val 50000"/>
          </a:avLst>
        </a:prstGeom>
      </dsp:spPr>
      <dsp:style>
        <a:lnRef idx="2">
          <a:schemeClr val="accent1">
            <a:alpha val="90000"/>
            <a:tint val="40000"/>
          </a:schemeClr>
        </a:lnRef>
        <a:fillRef idx="1">
          <a:schemeClr val="accent1">
            <a:alpha val="90000"/>
            <a:tint val="40000"/>
          </a:schemeClr>
        </a:fillRef>
        <a:effectRef idx="0">
          <a:scrgbClr r="0" g="0" b="0"/>
        </a:effectRef>
        <a:fontRef idx="minor"/>
      </dsp:style>
      <dsp:txBody>
        <a:bodyPr lIns="20320" tIns="5080" rIns="10160" bIns="5080" anchor="ctr"/>
        <a:lstStyle>
          <a:lvl1pPr algn="ctr">
            <a:defRPr sz="6500"/>
          </a:lvl1pPr>
          <a:lvl2pPr marL="285750" indent="-285750" algn="ctr">
            <a:defRPr sz="6500"/>
          </a:lvl2pPr>
          <a:lvl3pPr marL="571500" indent="-285750" algn="ctr">
            <a:defRPr sz="6500"/>
          </a:lvl3pPr>
          <a:lvl4pPr marL="857250" indent="-285750" algn="ctr">
            <a:defRPr sz="6500"/>
          </a:lvl4pPr>
          <a:lvl5pPr marL="1143000" indent="-285750" algn="ctr">
            <a:defRPr sz="6500"/>
          </a:lvl5pPr>
          <a:lvl6pPr marL="1428750" indent="-285750" algn="ctr">
            <a:defRPr sz="6500"/>
          </a:lvl6pPr>
          <a:lvl7pPr marL="1714500" indent="-285750" algn="ctr">
            <a:defRPr sz="6500"/>
          </a:lvl7pPr>
          <a:lvl8pPr marL="2000250" indent="-285750" algn="ctr">
            <a:defRPr sz="6500"/>
          </a:lvl8pPr>
          <a:lvl9pPr marL="2286000" indent="-285750" algn="ctr">
            <a:defRPr sz="65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800">
              <a:solidFill>
                <a:schemeClr val="dk1"/>
              </a:solidFill>
            </a:rPr>
            <a:t>患者情况好转，撤离</a:t>
          </a:r>
          <a:r>
            <a:rPr lang="en-US" sz="800">
              <a:solidFill>
                <a:schemeClr val="dk1"/>
              </a:solidFill>
            </a:rPr>
            <a:t>ECMO</a:t>
          </a:r>
          <a:endParaRPr lang="zh-CN" altLang="en-US" sz="800">
            <a:solidFill>
              <a:schemeClr val="dk1"/>
            </a:solidFill>
          </a:endParaRPr>
        </a:p>
      </dsp:txBody>
      <dsp:txXfrm>
        <a:off x="4782981" y="499005"/>
        <a:ext cx="1142204" cy="998430"/>
      </dsp:txXfrm>
    </dsp:sp>
    <dsp:sp modelId="{DC537892-1771-41C4-A6B1-A3CDE5CD2243}">
      <dsp:nvSpPr>
        <dsp:cNvPr id="10" name="椭圆 9"/>
        <dsp:cNvSpPr/>
      </dsp:nvSpPr>
      <dsp:spPr bwMode="white">
        <a:xfrm>
          <a:off x="4497430" y="712669"/>
          <a:ext cx="571102" cy="571102"/>
        </a:xfrm>
        <a:prstGeom prst="ellipse">
          <a:avLst/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lIns="6985" tIns="6985" rIns="6985" bIns="6985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ctr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/>
            <a:t>12</a:t>
          </a:r>
          <a:r>
            <a:rPr lang="zh-CN" altLang="en-US" sz="1100"/>
            <a:t>月</a:t>
          </a:r>
          <a:r>
            <a:rPr lang="en-US" altLang="zh-CN" sz="1100"/>
            <a:t>04</a:t>
          </a:r>
          <a:r>
            <a:rPr lang="zh-CN" altLang="en-US" sz="1100"/>
            <a:t>日</a:t>
          </a:r>
        </a:p>
      </dsp:txBody>
      <dsp:txXfrm>
        <a:off x="4497430" y="712669"/>
        <a:ext cx="571102" cy="5711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28AEF-820A-4F4B-B75E-A2BD2AC8E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8</Pages>
  <Words>4760</Words>
  <Characters>5521</Characters>
  <Lines>41</Lines>
  <Paragraphs>11</Paragraphs>
  <TotalTime>0</TotalTime>
  <ScaleCrop>false</ScaleCrop>
  <LinksUpToDate>false</LinksUpToDate>
  <CharactersWithSpaces>5547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2024-06-05T05:32:00Z</dcterms:created>
  <dc:creator>a</dc:creator>
  <cp:lastModifiedBy>源妈妈</cp:lastModifiedBy>
  <cp:lastPrinted>2024-07-02T02:37:00Z</cp:lastPrinted>
  <dcterms:modified xsi:type="dcterms:W3CDTF">2026-06-26T00:38:55Z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6DE12EA383C54CEB923EEFDA0B996BBE_13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